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EB81774" w14:textId="735B755F" w:rsidR="00E9462C" w:rsidRPr="00E9462C" w:rsidRDefault="00E9462C" w:rsidP="00E9462C">
      <w:pPr>
        <w:pStyle w:val="papertitle"/>
        <w:spacing w:before="5pt" w:beforeAutospacing="1" w:after="5pt" w:afterAutospacing="1"/>
        <w:rPr>
          <w:kern w:val="48"/>
        </w:rPr>
      </w:pPr>
      <w:r>
        <w:t>Prototype of Food Hardness Measurement App Using Swept-Sine Technique</w:t>
      </w:r>
    </w:p>
    <w:p w14:paraId="40A8D0D3" w14:textId="77777777" w:rsidR="00E9462C" w:rsidRDefault="00E9462C" w:rsidP="00E9462C">
      <w:pPr>
        <w:rPr>
          <w:sz w:val="18"/>
          <w:szCs w:val="18"/>
        </w:rPr>
      </w:pPr>
      <w:r>
        <w:rPr>
          <w:sz w:val="18"/>
          <w:szCs w:val="18"/>
        </w:rPr>
        <w:t>Akihide Yoshida, Akira Ohta, Akihito Kobayashi</w:t>
      </w:r>
    </w:p>
    <w:p w14:paraId="27601575" w14:textId="77777777" w:rsidR="00E9462C" w:rsidRDefault="00E9462C" w:rsidP="00E9462C">
      <w:pPr>
        <w:rPr>
          <w:sz w:val="18"/>
          <w:szCs w:val="18"/>
        </w:rPr>
      </w:pPr>
      <w:r>
        <w:rPr>
          <w:sz w:val="18"/>
          <w:szCs w:val="18"/>
        </w:rPr>
        <w:t>AI System Department, Nihon Kougakuin Hachioji College</w:t>
      </w:r>
    </w:p>
    <w:p w14:paraId="099F3553" w14:textId="77777777" w:rsidR="00E9462C" w:rsidRDefault="00E9462C" w:rsidP="00E9462C">
      <w:pPr>
        <w:rPr>
          <w:rFonts w:eastAsiaTheme="minorEastAsia"/>
          <w:sz w:val="18"/>
          <w:szCs w:val="18"/>
          <w:lang w:eastAsia="ja-JP"/>
        </w:rPr>
      </w:pPr>
      <w:r>
        <w:rPr>
          <w:sz w:val="18"/>
          <w:szCs w:val="18"/>
        </w:rPr>
        <w:t>Hachioji-city, Japan</w:t>
      </w:r>
    </w:p>
    <w:p w14:paraId="3EAEE70F" w14:textId="5588932F" w:rsidR="00D7522C" w:rsidRPr="00E9462C" w:rsidRDefault="00000000" w:rsidP="00E9462C">
      <w:pPr>
        <w:rPr>
          <w:sz w:val="18"/>
          <w:szCs w:val="18"/>
        </w:rPr>
      </w:pPr>
      <w:hyperlink r:id="rId8" w:history="1">
        <w:r w:rsidR="00E9462C" w:rsidRPr="00E9462C">
          <w:rPr>
            <w:rStyle w:val="aa"/>
            <w:color w:val="auto"/>
          </w:rPr>
          <w:t>g023c1133@g.neec.ac.jp</w:t>
        </w:r>
      </w:hyperlink>
    </w:p>
    <w:p w14:paraId="56E2F8C0" w14:textId="77777777" w:rsidR="00D7522C" w:rsidRPr="00E9462C" w:rsidRDefault="00D7522C" w:rsidP="00E9462C">
      <w:pPr>
        <w:pStyle w:val="Author"/>
        <w:spacing w:before="5pt" w:beforeAutospacing="1" w:after="5pt" w:afterAutospacing="1" w:line="6pt" w:lineRule="auto"/>
        <w:jc w:val="both"/>
        <w:rPr>
          <w:rFonts w:eastAsiaTheme="minorEastAsia"/>
          <w:sz w:val="16"/>
          <w:szCs w:val="16"/>
          <w:lang w:eastAsia="ja-JP"/>
        </w:rPr>
        <w:sectPr w:rsidR="00D7522C" w:rsidRPr="00E9462C" w:rsidSect="003B4E04">
          <w:footerReference w:type="first" r:id="rId9"/>
          <w:pgSz w:w="595.30pt" w:h="841.90pt" w:code="9"/>
          <w:pgMar w:top="27pt" w:right="44.65pt" w:bottom="72pt" w:left="44.65pt" w:header="36pt" w:footer="36pt" w:gutter="0pt"/>
          <w:cols w:space="36pt"/>
          <w:titlePg/>
          <w:docGrid w:linePitch="360"/>
        </w:sectPr>
      </w:pPr>
    </w:p>
    <w:p w14:paraId="2B7AC5AA" w14:textId="7F7E1F1D" w:rsidR="009F1D79" w:rsidRPr="00E9462C" w:rsidRDefault="009F1D79" w:rsidP="00E9462C">
      <w:pPr>
        <w:pStyle w:val="Author"/>
        <w:spacing w:before="5pt" w:beforeAutospacing="1"/>
        <w:jc w:val="both"/>
        <w:rPr>
          <w:rFonts w:eastAsiaTheme="minorEastAsia"/>
          <w:lang w:eastAsia="ja-JP"/>
        </w:rPr>
        <w:sectPr w:rsidR="009F1D79" w:rsidRPr="00E9462C" w:rsidSect="003B4E04">
          <w:type w:val="continuous"/>
          <w:pgSz w:w="595.30pt" w:h="841.90pt" w:code="9"/>
          <w:pgMar w:top="22.50pt" w:right="44.65pt" w:bottom="72pt" w:left="44.65pt" w:header="36pt" w:footer="36pt" w:gutter="0pt"/>
          <w:cols w:num="3" w:space="36pt"/>
          <w:docGrid w:linePitch="360"/>
        </w:sectPr>
      </w:pPr>
    </w:p>
    <w:p w14:paraId="1FFDCF7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70CF7B9" w14:textId="104FED0E" w:rsidR="004D72B5" w:rsidRDefault="00E9462C" w:rsidP="00972203">
      <w:pPr>
        <w:pStyle w:val="Abstract"/>
        <w:rPr>
          <w:i/>
          <w:iCs/>
        </w:rPr>
      </w:pPr>
      <w:r w:rsidRPr="00E9462C">
        <w:rPr>
          <w:rStyle w:val="ac"/>
          <w:i/>
          <w:iCs/>
        </w:rPr>
        <w:t>Abstract</w:t>
      </w:r>
      <w:r w:rsidRPr="00E9462C">
        <w:rPr>
          <w:rStyle w:val="ac"/>
        </w:rPr>
        <w:t>— The Swept-Sine technique using a smartphone makes available so that consumers can check food quality by themselves. Sweep sounds apply to gelatine samples with various hardness from the smartphone speaker, and response sounds are captured with a microphone of the identical smartphone. Impulse response is calculated by convolution integral between the sweep sounds and response sounds. Between frequency distribution of the impulse response and the hardness of the samples are investigated. Measurement using k-fold cross-validation methods and support vector machine shows an average accuracy of 0.958 in hardness classification. As a result of 72-time measurement, principal component analysis showed clear separations among hardness groups.</w:t>
      </w:r>
    </w:p>
    <w:p w14:paraId="73B25114" w14:textId="77777777" w:rsidR="00E9462C" w:rsidRDefault="00E9462C" w:rsidP="00E9462C">
      <w:pPr>
        <w:ind w:firstLine="13.60pt"/>
        <w:jc w:val="start"/>
        <w:rPr>
          <w:rStyle w:val="ac"/>
          <w:i/>
          <w:iCs/>
          <w:sz w:val="21"/>
          <w:szCs w:val="21"/>
        </w:rPr>
      </w:pPr>
      <w:r>
        <w:rPr>
          <w:rStyle w:val="ac"/>
          <w:b/>
          <w:bCs/>
          <w:i/>
          <w:iCs/>
          <w:sz w:val="18"/>
          <w:szCs w:val="18"/>
        </w:rPr>
        <w:t>Keywords—Swept-Sine method, Food hardness, Impulse response, Frequency response, Smartphone</w:t>
      </w:r>
    </w:p>
    <w:p w14:paraId="44C4E169" w14:textId="7B66F6C1" w:rsidR="009303D9" w:rsidRPr="00D632BE" w:rsidRDefault="009303D9" w:rsidP="006B6B66">
      <w:pPr>
        <w:pStyle w:val="1"/>
      </w:pPr>
      <w:r w:rsidRPr="00D632BE">
        <w:t xml:space="preserve">Introduction </w:t>
      </w:r>
    </w:p>
    <w:p w14:paraId="773C9BED" w14:textId="7ED3A7F4" w:rsidR="00E9462C" w:rsidRPr="00E9462C" w:rsidRDefault="00E9462C" w:rsidP="00E9462C">
      <w:pPr>
        <w:ind w:firstLine="5.25pt"/>
        <w:jc w:val="both"/>
        <w:rPr>
          <w:rStyle w:val="ac"/>
        </w:rPr>
      </w:pPr>
      <w:r w:rsidRPr="00E9462C">
        <w:rPr>
          <w:rStyle w:val="ac"/>
        </w:rPr>
        <w:t xml:space="preserve">Food quality assessment is important for consumers to keep their health and to feel satisfaction. There are two kinds of inspection in the assessment; destructive and non-destructive. Destructive inspection, such as a Texturometer, causes some damage to foods. On the other hand, non-destructive inspection, such as near-infrared spectroscopy or chromatography, does less or no damage to foods. It is, however, too troublesome for consumers to be applied easily. </w:t>
      </w:r>
    </w:p>
    <w:p w14:paraId="6B36D971" w14:textId="77777777" w:rsidR="00E9462C" w:rsidRPr="00E9462C" w:rsidRDefault="00E9462C" w:rsidP="00E9462C">
      <w:pPr>
        <w:ind w:firstLine="5.25pt"/>
        <w:jc w:val="both"/>
        <w:rPr>
          <w:rStyle w:val="ac"/>
        </w:rPr>
      </w:pPr>
      <w:r w:rsidRPr="00E9462C">
        <w:rPr>
          <w:rStyle w:val="ac"/>
        </w:rPr>
        <w:t xml:space="preserve">In 2000, A. Farina proposed the Swept-Sine </w:t>
      </w:r>
      <w:r w:rsidRPr="00E9462C">
        <w:rPr>
          <w:rStyle w:val="ac"/>
          <w:shd w:val="clear" w:color="auto" w:fill="FFFFFF"/>
        </w:rPr>
        <w:t>technique</w:t>
      </w:r>
      <w:r w:rsidRPr="00E9462C">
        <w:rPr>
          <w:rStyle w:val="ac"/>
        </w:rPr>
        <w:t>. He measured the impulse response using acoustic waves with a frequency from 1 Hz to 20</w:t>
      </w:r>
      <w:r w:rsidRPr="00E9462C">
        <w:rPr>
          <w:rStyle w:val="ac"/>
          <w:rFonts w:ascii="ＭＳ 明朝" w:eastAsia="ＭＳ 明朝" w:hAnsi="ＭＳ 明朝" w:cs="ＭＳ 明朝" w:hint="eastAsia"/>
        </w:rPr>
        <w:t xml:space="preserve"> </w:t>
      </w:r>
      <w:r w:rsidRPr="00E9462C">
        <w:rPr>
          <w:rStyle w:val="ac"/>
        </w:rPr>
        <w:t xml:space="preserve">kHz [1]. His experiment showed a high degree of signal / noise (S/N) ratio. A. Kobayashi, T. Nebashi, and A. Ohta has reported an acoustic technique improved his Swept-Sine </w:t>
      </w:r>
      <w:r w:rsidRPr="00E9462C">
        <w:rPr>
          <w:rStyle w:val="ac"/>
          <w:shd w:val="clear" w:color="auto" w:fill="FFFFFF"/>
        </w:rPr>
        <w:t>technique</w:t>
      </w:r>
      <w:r w:rsidRPr="00E9462C">
        <w:rPr>
          <w:rStyle w:val="ac"/>
        </w:rPr>
        <w:t xml:space="preserve"> and determined the ripeness of avocados [2]. Their improved </w:t>
      </w:r>
      <w:r w:rsidRPr="00E9462C">
        <w:rPr>
          <w:rStyle w:val="ac"/>
          <w:shd w:val="clear" w:color="auto" w:fill="FFFFFF"/>
        </w:rPr>
        <w:t>technique</w:t>
      </w:r>
      <w:r w:rsidRPr="00E9462C">
        <w:rPr>
          <w:rStyle w:val="ac"/>
        </w:rPr>
        <w:t xml:space="preserve"> using a headset still remains poor reproducibility due to the limitation of the number of samples. </w:t>
      </w:r>
    </w:p>
    <w:p w14:paraId="500840B3" w14:textId="6DE9AF96" w:rsidR="009303D9" w:rsidRPr="00116FD9" w:rsidRDefault="00E9462C" w:rsidP="00116FD9">
      <w:pPr>
        <w:ind w:firstLine="5.25pt"/>
        <w:jc w:val="both"/>
        <w:rPr>
          <w:rFonts w:eastAsiaTheme="minorEastAsia"/>
          <w:lang w:eastAsia="ja-JP"/>
        </w:rPr>
      </w:pPr>
      <w:r w:rsidRPr="00E9462C">
        <w:rPr>
          <w:rStyle w:val="ac"/>
        </w:rPr>
        <w:t>The aim of this study is to ensure that this technique achieves the sufficiently high reproducibility. We select samples with various amounts of gelatin content and measure them repeatedly in order to extend it to various foods other than fruits. A smartphone substitutes for the headset, so that customers may easily check food quality by themselves.</w:t>
      </w:r>
    </w:p>
    <w:p w14:paraId="0C88D36A" w14:textId="3F1659C4" w:rsidR="009303D9" w:rsidRDefault="00CF2220" w:rsidP="00CF2220">
      <w:pPr>
        <w:pStyle w:val="1"/>
      </w:pPr>
      <w:r>
        <w:rPr>
          <w:rFonts w:eastAsiaTheme="minorEastAsia" w:hint="eastAsia"/>
          <w:lang w:eastAsia="ja-JP"/>
        </w:rPr>
        <w:t>Thoery</w:t>
      </w:r>
    </w:p>
    <w:p w14:paraId="4DEBB5B6" w14:textId="77777777" w:rsidR="00CF2220" w:rsidRPr="00CF2220" w:rsidRDefault="00CF2220" w:rsidP="00CF2220">
      <w:pPr>
        <w:ind w:firstLineChars="50" w:firstLine="5pt"/>
        <w:jc w:val="both"/>
        <w:rPr>
          <w:rStyle w:val="ac"/>
          <w:shd w:val="clear" w:color="auto" w:fill="FFFFFF"/>
        </w:rPr>
      </w:pPr>
      <w:r w:rsidRPr="00CF2220">
        <w:rPr>
          <w:rStyle w:val="ac"/>
          <w:shd w:val="clear" w:color="auto" w:fill="FFFFFF"/>
        </w:rPr>
        <w:t>Figure 1 shows the experimental flow of the Swept-Sine technique. In this study, the speaker at the bottom right of a smartphone generates a sweep sound, whose frequency rises exponentially, and exposes the sound to a sample. The microphone at the bottom center of the smartphone received the sound traveling through the sample.</w:t>
      </w:r>
    </w:p>
    <w:p w14:paraId="2D27909F" w14:textId="1402BFDA" w:rsidR="00CF2220" w:rsidRPr="00CF2220" w:rsidRDefault="003A51CD" w:rsidP="00CF2220">
      <w:pPr>
        <w:spacing w:before="12pt" w:after="6pt"/>
        <w:rPr>
          <w:rStyle w:val="ac"/>
          <w:rFonts w:eastAsiaTheme="minorEastAsia"/>
          <w:sz w:val="18"/>
          <w:szCs w:val="18"/>
          <w:lang w:eastAsia="ja-JP"/>
        </w:rPr>
      </w:pPr>
      <w:r>
        <w:rPr>
          <w:noProof/>
        </w:rPr>
        <w:drawing>
          <wp:inline distT="0" distB="0" distL="0" distR="0" wp14:anchorId="33492D86" wp14:editId="608AD01D">
            <wp:extent cx="2736384" cy="1057275"/>
            <wp:effectExtent l="0" t="0" r="6985" b="0"/>
            <wp:docPr id="1073741825" name="officeArt object" descr="frow.svg"/>
            <wp:cNvGraphicFramePr/>
            <a:graphic xmlns:a="http://purl.oclc.org/ooxml/drawingml/main">
              <a:graphicData uri="http://purl.oclc.org/ooxml/drawingml/picture">
                <pic:pic xmlns:pic="http://purl.oclc.org/ooxml/drawingml/picture">
                  <pic:nvPicPr>
                    <pic:cNvPr id="1073741825" name="officeArt object" descr="frow.svg"/>
                    <pic:cNvPicPr/>
                  </pic:nvPicPr>
                  <pic:blipFill>
                    <a:blip r:embed="rId10"/>
                    <a:srcRect l="38.466%" t="37.687%" r="24.653%" b="44.569%"/>
                    <a:stretch>
                      <a:fillRect/>
                    </a:stretch>
                  </pic:blipFill>
                  <pic:spPr>
                    <a:xfrm>
                      <a:off x="0" y="0"/>
                      <a:ext cx="2738444" cy="1058071"/>
                    </a:xfrm>
                    <a:prstGeom prst="rect">
                      <a:avLst/>
                    </a:prstGeom>
                    <a:ln w="12700" cap="flat">
                      <a:noFill/>
                      <a:miter lim="400%"/>
                    </a:ln>
                    <a:effectLst/>
                  </pic:spPr>
                </pic:pic>
              </a:graphicData>
            </a:graphic>
          </wp:inline>
        </w:drawing>
      </w:r>
    </w:p>
    <w:p w14:paraId="58BA26A6" w14:textId="1B00D79D" w:rsidR="00CF2220" w:rsidRPr="00CF2220" w:rsidRDefault="00CF2220" w:rsidP="00CF2220">
      <w:pPr>
        <w:pStyle w:val="figurecaption"/>
        <w:rPr>
          <w:rStyle w:val="ac"/>
        </w:rPr>
      </w:pPr>
      <w:r w:rsidRPr="00CF2220">
        <w:rPr>
          <w:rStyle w:val="ac"/>
          <w:shd w:val="clear" w:color="auto" w:fill="FFFFFF"/>
        </w:rPr>
        <w:t>Flow diagram of the algorithm in this experiment</w:t>
      </w:r>
    </w:p>
    <w:p w14:paraId="61E3FDE6" w14:textId="77777777" w:rsidR="00CF2220" w:rsidRPr="00CF2220" w:rsidRDefault="00CF2220" w:rsidP="00CF2220">
      <w:pPr>
        <w:jc w:val="both"/>
        <w:rPr>
          <w:rStyle w:val="ac"/>
          <w:shd w:val="clear" w:color="auto" w:fill="FFFFFF"/>
        </w:rPr>
      </w:pPr>
      <w:r w:rsidRPr="00CF2220">
        <w:rPr>
          <w:rStyle w:val="ac"/>
          <w:shd w:val="clear" w:color="auto" w:fill="FFFFFF"/>
        </w:rPr>
        <w:t>The sweep sound is expressed by Eq. (1).</w:t>
      </w:r>
    </w:p>
    <w:p w14:paraId="02904E1B" w14:textId="77777777" w:rsidR="00CF2220" w:rsidRDefault="00CF2220" w:rsidP="00CF2220">
      <w:pPr>
        <w:tabs>
          <w:tab w:val="center" w:pos="113.40pt"/>
          <w:tab w:val="end" w:pos="233.90pt"/>
        </w:tabs>
        <w:spacing w:before="6pt" w:after="6pt"/>
        <w:rPr>
          <w:rStyle w:val="ac"/>
          <w:sz w:val="19"/>
        </w:rPr>
      </w:pPr>
      <w:r>
        <w:rPr>
          <w:rStyle w:val="ac"/>
        </w:rPr>
        <w:tab/>
      </w:r>
      <m:oMath>
        <m:r>
          <w:rPr>
            <w:rFonts w:ascii="Cambria Math" w:hAnsi="Cambria Math"/>
            <w:sz w:val="23"/>
            <w:szCs w:val="23"/>
          </w:rPr>
          <m:t>x</m:t>
        </m:r>
        <m:d>
          <m:dPr>
            <m:ctrlPr>
              <w:rPr>
                <w:rFonts w:ascii="Cambria Math" w:eastAsia="Arial Unicode MS" w:hAnsi="Cambria Math" w:cs="Arial Unicode MS"/>
                <w:i/>
                <w:color w:val="000000"/>
                <w:sz w:val="23"/>
                <w:szCs w:val="23"/>
                <w:u w:color="000000"/>
              </w:rPr>
            </m:ctrlPr>
          </m:dPr>
          <m:e>
            <m:r>
              <w:rPr>
                <w:rFonts w:ascii="Cambria Math" w:hAnsi="Cambria Math"/>
                <w:sz w:val="23"/>
                <w:szCs w:val="23"/>
              </w:rPr>
              <m:t>t</m:t>
            </m:r>
          </m:e>
        </m:d>
        <m:r>
          <w:rPr>
            <w:rFonts w:ascii="Cambria Math" w:hAnsi="Cambria Math"/>
            <w:sz w:val="23"/>
            <w:szCs w:val="23"/>
          </w:rPr>
          <m:t>=</m:t>
        </m:r>
        <m:func>
          <m:funcPr>
            <m:ctrlPr>
              <w:rPr>
                <w:rFonts w:ascii="Cambria Math" w:eastAsia="Arial Unicode MS" w:hAnsi="Cambria Math" w:cs="Arial Unicode MS"/>
                <w:i/>
                <w:color w:val="000000"/>
                <w:sz w:val="23"/>
                <w:szCs w:val="23"/>
                <w:u w:color="000000"/>
              </w:rPr>
            </m:ctrlPr>
          </m:funcPr>
          <m:fName>
            <m:r>
              <w:rPr>
                <w:rFonts w:ascii="Cambria Math" w:hAnsi="Cambria Math"/>
                <w:sz w:val="23"/>
                <w:szCs w:val="23"/>
              </w:rPr>
              <m:t>sin</m:t>
            </m:r>
          </m:fName>
          <m:e>
            <m:d>
              <m:dPr>
                <m:begChr m:val="{"/>
                <m:endChr m:val="}"/>
                <m:ctrlPr>
                  <w:rPr>
                    <w:rFonts w:ascii="Cambria Math" w:eastAsia="Arial Unicode MS" w:hAnsi="Cambria Math" w:cs="Arial Unicode MS"/>
                    <w:i/>
                    <w:color w:val="000000"/>
                    <w:sz w:val="23"/>
                    <w:szCs w:val="23"/>
                    <w:u w:color="000000"/>
                  </w:rPr>
                </m:ctrlPr>
              </m:dPr>
              <m:e>
                <m:r>
                  <w:rPr>
                    <w:rFonts w:ascii="Cambria Math" w:hAnsi="Cambria Math"/>
                    <w:sz w:val="23"/>
                    <w:szCs w:val="23"/>
                  </w:rPr>
                  <m:t>2π</m:t>
                </m:r>
                <m:sSup>
                  <m:sSupPr>
                    <m:ctrlPr>
                      <w:rPr>
                        <w:rFonts w:ascii="Cambria Math" w:eastAsia="Arial Unicode MS" w:hAnsi="Cambria Math" w:cs="Arial Unicode MS"/>
                        <w:color w:val="000000"/>
                        <w:u w:color="000000"/>
                      </w:rPr>
                    </m:ctrlPr>
                  </m:sSupPr>
                  <m:e>
                    <m:sSub>
                      <m:sSubPr>
                        <m:ctrlPr>
                          <w:rPr>
                            <w:rFonts w:ascii="Cambria Math" w:eastAsia="Arial Unicode MS" w:hAnsi="Cambria Math" w:cs="Arial Unicode MS"/>
                            <w:color w:val="000000"/>
                            <w:u w:color="000000"/>
                          </w:rPr>
                        </m:ctrlPr>
                      </m:sSubPr>
                      <m:e>
                        <m:r>
                          <w:rPr>
                            <w:rFonts w:ascii="Cambria Math" w:hAnsi="Cambria Math"/>
                            <w:sz w:val="23"/>
                            <w:szCs w:val="23"/>
                          </w:rPr>
                          <m:t>f</m:t>
                        </m:r>
                      </m:e>
                      <m:sub>
                        <m:r>
                          <w:rPr>
                            <w:rFonts w:ascii="Cambria Math" w:hAnsi="Cambria Math"/>
                            <w:sz w:val="23"/>
                            <w:szCs w:val="23"/>
                          </w:rPr>
                          <m:t>start</m:t>
                        </m:r>
                      </m:sub>
                    </m:sSub>
                  </m:e>
                  <m:sup>
                    <m:r>
                      <w:rPr>
                        <w:rFonts w:ascii="Cambria Math" w:hAnsi="Cambria Math"/>
                        <w:sz w:val="23"/>
                        <w:szCs w:val="23"/>
                      </w:rPr>
                      <m:t>T</m:t>
                    </m:r>
                  </m:sup>
                </m:sSup>
                <m:d>
                  <m:dPr>
                    <m:ctrlPr>
                      <w:rPr>
                        <w:rFonts w:ascii="Cambria Math" w:eastAsia="Arial Unicode MS" w:hAnsi="Cambria Math" w:cs="Arial Unicode MS"/>
                        <w:i/>
                        <w:color w:val="000000"/>
                        <w:sz w:val="23"/>
                        <w:szCs w:val="23"/>
                        <w:u w:color="000000"/>
                      </w:rPr>
                    </m:ctrlPr>
                  </m:dPr>
                  <m:e>
                    <m:f>
                      <m:fPr>
                        <m:ctrlPr>
                          <w:rPr>
                            <w:rFonts w:ascii="Cambria Math" w:eastAsia="Arial Unicode MS" w:hAnsi="Cambria Math" w:cs="Arial Unicode MS"/>
                            <w:i/>
                            <w:color w:val="000000"/>
                            <w:sz w:val="23"/>
                            <w:szCs w:val="23"/>
                            <w:u w:color="000000"/>
                          </w:rPr>
                        </m:ctrlPr>
                      </m:fPr>
                      <m:num>
                        <m:sSup>
                          <m:sSupPr>
                            <m:ctrlPr>
                              <w:rPr>
                                <w:rFonts w:ascii="Cambria Math" w:eastAsia="Arial Unicode MS" w:hAnsi="Cambria Math" w:cs="Arial Unicode MS"/>
                                <w:color w:val="000000"/>
                                <w:u w:color="000000"/>
                              </w:rPr>
                            </m:ctrlPr>
                          </m:sSupPr>
                          <m:e>
                            <m:d>
                              <m:dPr>
                                <m:ctrlPr>
                                  <w:rPr>
                                    <w:rFonts w:ascii="Cambria Math" w:eastAsia="Arial Unicode MS" w:hAnsi="Cambria Math" w:cs="Arial Unicode MS"/>
                                    <w:i/>
                                    <w:color w:val="000000"/>
                                    <w:sz w:val="23"/>
                                    <w:szCs w:val="23"/>
                                    <w:u w:color="000000"/>
                                  </w:rPr>
                                </m:ctrlPr>
                              </m:dPr>
                              <m:e>
                                <m:f>
                                  <m:fPr>
                                    <m:ctrlPr>
                                      <w:rPr>
                                        <w:rFonts w:ascii="Cambria Math" w:eastAsia="Arial Unicode MS" w:hAnsi="Cambria Math" w:cs="Arial Unicode MS"/>
                                        <w:i/>
                                        <w:color w:val="000000"/>
                                        <w:sz w:val="23"/>
                                        <w:szCs w:val="23"/>
                                        <w:u w:color="000000"/>
                                      </w:rPr>
                                    </m:ctrlPr>
                                  </m:fPr>
                                  <m:num>
                                    <m:sSub>
                                      <m:sSubPr>
                                        <m:ctrlPr>
                                          <w:rPr>
                                            <w:rFonts w:ascii="Cambria Math" w:eastAsia="Arial Unicode MS" w:hAnsi="Cambria Math" w:cs="Arial Unicode MS"/>
                                            <w:color w:val="000000"/>
                                            <w:u w:color="000000"/>
                                          </w:rPr>
                                        </m:ctrlPr>
                                      </m:sSubPr>
                                      <m:e>
                                        <m:r>
                                          <w:rPr>
                                            <w:rFonts w:ascii="Cambria Math" w:hAnsi="Cambria Math"/>
                                            <w:sz w:val="23"/>
                                            <w:szCs w:val="23"/>
                                          </w:rPr>
                                          <m:t>f</m:t>
                                        </m:r>
                                      </m:e>
                                      <m:sub>
                                        <m:r>
                                          <w:rPr>
                                            <w:rFonts w:ascii="Cambria Math" w:hAnsi="Cambria Math"/>
                                            <w:sz w:val="23"/>
                                            <w:szCs w:val="23"/>
                                          </w:rPr>
                                          <m:t>end</m:t>
                                        </m:r>
                                      </m:sub>
                                    </m:sSub>
                                  </m:num>
                                  <m:den>
                                    <m:sSub>
                                      <m:sSubPr>
                                        <m:ctrlPr>
                                          <w:rPr>
                                            <w:rFonts w:ascii="Cambria Math" w:eastAsia="Arial Unicode MS" w:hAnsi="Cambria Math" w:cs="Arial Unicode MS"/>
                                            <w:color w:val="000000"/>
                                            <w:u w:color="000000"/>
                                          </w:rPr>
                                        </m:ctrlPr>
                                      </m:sSubPr>
                                      <m:e>
                                        <m:r>
                                          <w:rPr>
                                            <w:rFonts w:ascii="Cambria Math" w:hAnsi="Cambria Math"/>
                                            <w:sz w:val="23"/>
                                            <w:szCs w:val="23"/>
                                          </w:rPr>
                                          <m:t>f</m:t>
                                        </m:r>
                                      </m:e>
                                      <m:sub>
                                        <m:r>
                                          <w:rPr>
                                            <w:rFonts w:ascii="Cambria Math" w:hAnsi="Cambria Math"/>
                                            <w:sz w:val="23"/>
                                            <w:szCs w:val="23"/>
                                          </w:rPr>
                                          <m:t>start</m:t>
                                        </m:r>
                                      </m:sub>
                                    </m:sSub>
                                  </m:den>
                                </m:f>
                              </m:e>
                            </m:d>
                          </m:e>
                          <m:sup>
                            <m:f>
                              <m:fPr>
                                <m:type m:val="lin"/>
                                <m:ctrlPr>
                                  <w:rPr>
                                    <w:rFonts w:ascii="Cambria Math" w:eastAsia="Arial Unicode MS" w:hAnsi="Cambria Math" w:cs="Arial Unicode MS"/>
                                    <w:i/>
                                    <w:color w:val="000000"/>
                                    <w:sz w:val="23"/>
                                    <w:szCs w:val="23"/>
                                    <w:u w:color="000000"/>
                                  </w:rPr>
                                </m:ctrlPr>
                              </m:fPr>
                              <m:num>
                                <m:r>
                                  <w:rPr>
                                    <w:rFonts w:ascii="Cambria Math" w:hAnsi="Cambria Math"/>
                                    <w:sz w:val="23"/>
                                    <w:szCs w:val="23"/>
                                  </w:rPr>
                                  <m:t>t</m:t>
                                </m:r>
                              </m:num>
                              <m:den>
                                <m:r>
                                  <w:rPr>
                                    <w:rFonts w:ascii="Cambria Math" w:hAnsi="Cambria Math"/>
                                    <w:sz w:val="23"/>
                                    <w:szCs w:val="23"/>
                                  </w:rPr>
                                  <m:t>T</m:t>
                                </m:r>
                              </m:den>
                            </m:f>
                          </m:sup>
                        </m:sSup>
                        <m:r>
                          <w:rPr>
                            <w:rFonts w:ascii="Cambria Math" w:hAnsi="Cambria Math"/>
                            <w:sz w:val="23"/>
                            <w:szCs w:val="23"/>
                          </w:rPr>
                          <m:t>-1</m:t>
                        </m:r>
                      </m:num>
                      <m:den>
                        <m:r>
                          <w:rPr>
                            <w:rFonts w:ascii="Cambria Math" w:hAnsi="Cambria Math"/>
                            <w:sz w:val="23"/>
                            <w:szCs w:val="23"/>
                          </w:rPr>
                          <m:t>log</m:t>
                        </m:r>
                        <m:d>
                          <m:dPr>
                            <m:ctrlPr>
                              <w:rPr>
                                <w:rFonts w:ascii="Cambria Math" w:eastAsia="Arial Unicode MS" w:hAnsi="Cambria Math" w:cs="Arial Unicode MS"/>
                                <w:i/>
                                <w:color w:val="000000"/>
                                <w:sz w:val="23"/>
                                <w:szCs w:val="23"/>
                                <w:u w:color="000000"/>
                              </w:rPr>
                            </m:ctrlPr>
                          </m:dPr>
                          <m:e>
                            <m:f>
                              <m:fPr>
                                <m:ctrlPr>
                                  <w:rPr>
                                    <w:rFonts w:ascii="Cambria Math" w:eastAsia="Arial Unicode MS" w:hAnsi="Cambria Math" w:cs="Arial Unicode MS"/>
                                    <w:i/>
                                    <w:color w:val="000000"/>
                                    <w:sz w:val="23"/>
                                    <w:szCs w:val="23"/>
                                    <w:u w:color="000000"/>
                                  </w:rPr>
                                </m:ctrlPr>
                              </m:fPr>
                              <m:num>
                                <m:sSub>
                                  <m:sSubPr>
                                    <m:ctrlPr>
                                      <w:rPr>
                                        <w:rFonts w:ascii="Cambria Math" w:eastAsia="Arial Unicode MS" w:hAnsi="Cambria Math" w:cs="Arial Unicode MS"/>
                                        <w:color w:val="000000"/>
                                        <w:u w:color="000000"/>
                                      </w:rPr>
                                    </m:ctrlPr>
                                  </m:sSubPr>
                                  <m:e>
                                    <m:r>
                                      <w:rPr>
                                        <w:rFonts w:ascii="Cambria Math" w:hAnsi="Cambria Math"/>
                                        <w:sz w:val="23"/>
                                        <w:szCs w:val="23"/>
                                      </w:rPr>
                                      <m:t>f</m:t>
                                    </m:r>
                                  </m:e>
                                  <m:sub>
                                    <m:r>
                                      <w:rPr>
                                        <w:rFonts w:ascii="Cambria Math" w:hAnsi="Cambria Math"/>
                                        <w:sz w:val="23"/>
                                        <w:szCs w:val="23"/>
                                      </w:rPr>
                                      <m:t>end</m:t>
                                    </m:r>
                                  </m:sub>
                                </m:sSub>
                              </m:num>
                              <m:den>
                                <m:sSub>
                                  <m:sSubPr>
                                    <m:ctrlPr>
                                      <w:rPr>
                                        <w:rFonts w:ascii="Cambria Math" w:eastAsia="Arial Unicode MS" w:hAnsi="Cambria Math" w:cs="Arial Unicode MS"/>
                                        <w:color w:val="000000"/>
                                        <w:u w:color="000000"/>
                                      </w:rPr>
                                    </m:ctrlPr>
                                  </m:sSubPr>
                                  <m:e>
                                    <m:r>
                                      <w:rPr>
                                        <w:rFonts w:ascii="Cambria Math" w:hAnsi="Cambria Math"/>
                                        <w:sz w:val="23"/>
                                        <w:szCs w:val="23"/>
                                      </w:rPr>
                                      <m:t>f</m:t>
                                    </m:r>
                                  </m:e>
                                  <m:sub>
                                    <m:r>
                                      <w:rPr>
                                        <w:rFonts w:ascii="Cambria Math" w:hAnsi="Cambria Math"/>
                                        <w:sz w:val="23"/>
                                        <w:szCs w:val="23"/>
                                      </w:rPr>
                                      <m:t>start</m:t>
                                    </m:r>
                                  </m:sub>
                                </m:sSub>
                              </m:den>
                            </m:f>
                          </m:e>
                        </m:d>
                      </m:den>
                    </m:f>
                  </m:e>
                </m:d>
              </m:e>
            </m:d>
          </m:e>
        </m:func>
      </m:oMath>
      <w:r>
        <w:rPr>
          <w:rStyle w:val="ac"/>
        </w:rPr>
        <w:t xml:space="preserve"> ,</w:t>
      </w:r>
      <w:r>
        <w:rPr>
          <w:rStyle w:val="ac"/>
        </w:rPr>
        <w:tab/>
        <w:t>(1)</w:t>
      </w:r>
    </w:p>
    <w:p w14:paraId="75110459" w14:textId="77777777" w:rsidR="00CF2220" w:rsidRPr="00CF2220" w:rsidRDefault="00CF2220" w:rsidP="00CF2220">
      <w:pPr>
        <w:jc w:val="start"/>
        <w:rPr>
          <w:rStyle w:val="ac"/>
        </w:rPr>
      </w:pPr>
      <w:r w:rsidRPr="00CF2220">
        <w:rPr>
          <w:rStyle w:val="ac"/>
          <w:shd w:val="clear" w:color="auto" w:fill="FFFFFF"/>
        </w:rPr>
        <w:t xml:space="preserve">where </w:t>
      </w:r>
      <w:r w:rsidRPr="00CF2220">
        <w:rPr>
          <w:rStyle w:val="ac"/>
          <w:i/>
          <w:iCs/>
          <w:shd w:val="clear" w:color="auto" w:fill="FFFFFF"/>
        </w:rPr>
        <w:t>f</w:t>
      </w:r>
      <w:r w:rsidRPr="00CF2220">
        <w:rPr>
          <w:rStyle w:val="ac"/>
          <w:shd w:val="clear" w:color="auto" w:fill="FFFFFF"/>
          <w:vertAlign w:val="subscript"/>
        </w:rPr>
        <w:t>start</w:t>
      </w:r>
      <w:r w:rsidRPr="00CF2220">
        <w:rPr>
          <w:rStyle w:val="ac"/>
          <w:shd w:val="clear" w:color="auto" w:fill="FFFFFF"/>
        </w:rPr>
        <w:t xml:space="preserve"> and </w:t>
      </w:r>
      <w:r w:rsidRPr="00CF2220">
        <w:rPr>
          <w:rStyle w:val="ac"/>
          <w:i/>
          <w:iCs/>
          <w:shd w:val="clear" w:color="auto" w:fill="FFFFFF"/>
        </w:rPr>
        <w:t>f</w:t>
      </w:r>
      <w:r w:rsidRPr="00CF2220">
        <w:rPr>
          <w:rStyle w:val="ac"/>
          <w:shd w:val="clear" w:color="auto" w:fill="FFFFFF"/>
          <w:vertAlign w:val="subscript"/>
        </w:rPr>
        <w:t>end</w:t>
      </w:r>
      <w:r w:rsidRPr="00CF2220">
        <w:rPr>
          <w:rStyle w:val="ac"/>
          <w:shd w:val="clear" w:color="auto" w:fill="FFFFFF"/>
        </w:rPr>
        <w:t xml:space="preserve"> are frequencies at both ends. </w:t>
      </w:r>
      <w:r w:rsidRPr="00CF2220">
        <w:rPr>
          <w:rStyle w:val="ac"/>
          <w:i/>
          <w:iCs/>
          <w:shd w:val="clear" w:color="auto" w:fill="FFFFFF"/>
        </w:rPr>
        <w:t>T</w:t>
      </w:r>
      <w:r w:rsidRPr="00CF2220">
        <w:rPr>
          <w:rStyle w:val="ac"/>
          <w:shd w:val="clear" w:color="auto" w:fill="FFFFFF"/>
        </w:rPr>
        <w:t xml:space="preserve"> and </w:t>
      </w:r>
      <w:r w:rsidRPr="00CF2220">
        <w:rPr>
          <w:rStyle w:val="ac"/>
          <w:i/>
          <w:iCs/>
          <w:shd w:val="clear" w:color="auto" w:fill="FFFFFF"/>
        </w:rPr>
        <w:t>t</w:t>
      </w:r>
      <w:r w:rsidRPr="00CF2220">
        <w:rPr>
          <w:rStyle w:val="ac"/>
          <w:shd w:val="clear" w:color="auto" w:fill="FFFFFF"/>
        </w:rPr>
        <w:t xml:space="preserve"> are duration and time.</w:t>
      </w:r>
    </w:p>
    <w:p w14:paraId="28E0C06C" w14:textId="77777777" w:rsidR="00CF2220" w:rsidRDefault="00CF2220" w:rsidP="00CF2220">
      <w:pPr>
        <w:jc w:val="both"/>
        <w:rPr>
          <w:rStyle w:val="ac"/>
          <w:sz w:val="21"/>
          <w:szCs w:val="21"/>
          <w:shd w:val="clear" w:color="auto" w:fill="FFFFFF"/>
        </w:rPr>
      </w:pPr>
      <w:r w:rsidRPr="00CF2220">
        <w:rPr>
          <w:rStyle w:val="ac"/>
          <w:shd w:val="clear" w:color="auto" w:fill="FFFFFF"/>
        </w:rPr>
        <w:t xml:space="preserve"> Equation (2) represents an inverse filter:</w:t>
      </w:r>
    </w:p>
    <w:p w14:paraId="5142C3FA" w14:textId="77777777" w:rsidR="00CF2220" w:rsidRDefault="00CF2220" w:rsidP="00CF2220">
      <w:pPr>
        <w:tabs>
          <w:tab w:val="center" w:pos="120.50pt"/>
          <w:tab w:val="end" w:pos="233.90pt"/>
        </w:tabs>
        <w:spacing w:before="6pt" w:after="6pt"/>
        <w:rPr>
          <w:rStyle w:val="ac"/>
          <w:sz w:val="18"/>
          <w:szCs w:val="18"/>
        </w:rPr>
      </w:pPr>
      <w:r>
        <w:rPr>
          <w:rStyle w:val="ac"/>
          <w:sz w:val="18"/>
          <w:szCs w:val="18"/>
        </w:rPr>
        <w:tab/>
      </w:r>
      <m:oMath>
        <m:r>
          <w:rPr>
            <w:rFonts w:ascii="Cambria Math" w:hAnsi="Cambria Math"/>
            <w:sz w:val="21"/>
            <w:szCs w:val="21"/>
          </w:rPr>
          <m:t>y</m:t>
        </m:r>
        <m:d>
          <m:dPr>
            <m:ctrlPr>
              <w:rPr>
                <w:rFonts w:ascii="Cambria Math" w:eastAsia="Arial Unicode MS" w:hAnsi="Cambria Math" w:cs="Arial Unicode MS"/>
                <w:i/>
                <w:color w:val="000000"/>
                <w:sz w:val="21"/>
                <w:szCs w:val="21"/>
                <w:u w:color="000000"/>
              </w:rPr>
            </m:ctrlPr>
          </m:dPr>
          <m:e>
            <m:r>
              <w:rPr>
                <w:rFonts w:ascii="Cambria Math" w:hAnsi="Cambria Math"/>
                <w:sz w:val="21"/>
                <w:szCs w:val="21"/>
              </w:rPr>
              <m:t>t</m:t>
            </m:r>
          </m:e>
        </m:d>
        <m:r>
          <w:rPr>
            <w:rFonts w:ascii="Cambria Math" w:hAnsi="Cambria Math"/>
            <w:sz w:val="21"/>
            <w:szCs w:val="21"/>
          </w:rPr>
          <m:t>=x</m:t>
        </m:r>
        <m:d>
          <m:dPr>
            <m:ctrlPr>
              <w:rPr>
                <w:rFonts w:ascii="Cambria Math" w:eastAsia="Arial Unicode MS" w:hAnsi="Cambria Math" w:cs="Arial Unicode MS"/>
                <w:i/>
                <w:color w:val="000000"/>
                <w:sz w:val="21"/>
                <w:szCs w:val="21"/>
                <w:u w:color="000000"/>
              </w:rPr>
            </m:ctrlPr>
          </m:dPr>
          <m:e>
            <m:r>
              <w:rPr>
                <w:rFonts w:ascii="Cambria Math" w:hAnsi="Cambria Math"/>
                <w:sz w:val="21"/>
                <w:szCs w:val="21"/>
              </w:rPr>
              <m:t>T-t</m:t>
            </m:r>
          </m:e>
        </m:d>
        <m:r>
          <w:rPr>
            <w:rFonts w:ascii="Cambria Math" w:hAnsi="Cambria Math"/>
            <w:sz w:val="21"/>
            <w:szCs w:val="21"/>
          </w:rPr>
          <m:t>∙</m:t>
        </m:r>
        <m:d>
          <m:dPr>
            <m:begChr m:val="{"/>
            <m:endChr m:val="}"/>
            <m:ctrlPr>
              <w:rPr>
                <w:rFonts w:ascii="Cambria Math" w:eastAsia="Arial Unicode MS" w:hAnsi="Cambria Math" w:cs="Arial Unicode MS"/>
                <w:i/>
                <w:color w:val="000000"/>
                <w:sz w:val="21"/>
                <w:szCs w:val="21"/>
                <w:u w:color="000000"/>
              </w:rPr>
            </m:ctrlPr>
          </m:dPr>
          <m:e>
            <m:f>
              <m:fPr>
                <m:type m:val="lin"/>
                <m:ctrlPr>
                  <w:rPr>
                    <w:rFonts w:ascii="Cambria Math" w:eastAsia="Arial Unicode MS" w:hAnsi="Cambria Math" w:cs="Arial Unicode MS"/>
                    <w:i/>
                    <w:color w:val="000000"/>
                    <w:sz w:val="21"/>
                    <w:szCs w:val="21"/>
                    <w:u w:color="000000"/>
                  </w:rPr>
                </m:ctrlPr>
              </m:fPr>
              <m:num>
                <m:sSup>
                  <m:sSupPr>
                    <m:ctrlPr>
                      <w:rPr>
                        <w:rFonts w:ascii="Cambria Math" w:eastAsia="Arial Unicode MS" w:hAnsi="Cambria Math" w:cs="Arial Unicode MS"/>
                        <w:color w:val="000000"/>
                        <w:u w:color="000000"/>
                      </w:rPr>
                    </m:ctrlPr>
                  </m:sSupPr>
                  <m:e>
                    <m:d>
                      <m:dPr>
                        <m:ctrlPr>
                          <w:rPr>
                            <w:rFonts w:ascii="Cambria Math" w:eastAsia="Arial Unicode MS" w:hAnsi="Cambria Math" w:cs="Arial Unicode MS"/>
                            <w:i/>
                            <w:color w:val="000000"/>
                            <w:sz w:val="21"/>
                            <w:szCs w:val="21"/>
                            <w:u w:color="000000"/>
                          </w:rPr>
                        </m:ctrlPr>
                      </m:dPr>
                      <m:e>
                        <m:f>
                          <m:fPr>
                            <m:ctrlPr>
                              <w:rPr>
                                <w:rFonts w:ascii="Cambria Math" w:eastAsia="Arial Unicode MS" w:hAnsi="Cambria Math" w:cs="Arial Unicode MS"/>
                                <w:i/>
                                <w:color w:val="000000"/>
                                <w:sz w:val="21"/>
                                <w:szCs w:val="21"/>
                                <w:u w:color="000000"/>
                              </w:rPr>
                            </m:ctrlPr>
                          </m:fPr>
                          <m:num>
                            <m:sSub>
                              <m:sSubPr>
                                <m:ctrlPr>
                                  <w:rPr>
                                    <w:rFonts w:ascii="Cambria Math" w:eastAsia="Arial Unicode MS" w:hAnsi="Cambria Math" w:cs="Arial Unicode MS"/>
                                    <w:color w:val="000000"/>
                                    <w:u w:color="000000"/>
                                  </w:rPr>
                                </m:ctrlPr>
                              </m:sSubPr>
                              <m:e>
                                <m:r>
                                  <w:rPr>
                                    <w:rFonts w:ascii="Cambria Math" w:hAnsi="Cambria Math"/>
                                    <w:sz w:val="21"/>
                                    <w:szCs w:val="21"/>
                                  </w:rPr>
                                  <m:t>f</m:t>
                                </m:r>
                              </m:e>
                              <m:sub>
                                <m:r>
                                  <w:rPr>
                                    <w:rFonts w:ascii="Cambria Math" w:hAnsi="Cambria Math"/>
                                    <w:sz w:val="21"/>
                                    <w:szCs w:val="21"/>
                                  </w:rPr>
                                  <m:t>end</m:t>
                                </m:r>
                              </m:sub>
                            </m:sSub>
                          </m:num>
                          <m:den>
                            <m:sSub>
                              <m:sSubPr>
                                <m:ctrlPr>
                                  <w:rPr>
                                    <w:rFonts w:ascii="Cambria Math" w:eastAsia="Arial Unicode MS" w:hAnsi="Cambria Math" w:cs="Arial Unicode MS"/>
                                    <w:color w:val="000000"/>
                                    <w:u w:color="000000"/>
                                  </w:rPr>
                                </m:ctrlPr>
                              </m:sSubPr>
                              <m:e>
                                <m:r>
                                  <w:rPr>
                                    <w:rFonts w:ascii="Cambria Math" w:hAnsi="Cambria Math"/>
                                    <w:sz w:val="21"/>
                                    <w:szCs w:val="21"/>
                                  </w:rPr>
                                  <m:t>f</m:t>
                                </m:r>
                              </m:e>
                              <m:sub>
                                <m:r>
                                  <w:rPr>
                                    <w:rFonts w:ascii="Cambria Math" w:hAnsi="Cambria Math"/>
                                    <w:sz w:val="21"/>
                                    <w:szCs w:val="21"/>
                                  </w:rPr>
                                  <m:t>start</m:t>
                                </m:r>
                              </m:sub>
                            </m:sSub>
                          </m:den>
                        </m:f>
                      </m:e>
                    </m:d>
                  </m:e>
                  <m:sup>
                    <m:f>
                      <m:fPr>
                        <m:type m:val="lin"/>
                        <m:ctrlPr>
                          <w:rPr>
                            <w:rFonts w:ascii="Cambria Math" w:eastAsia="Arial Unicode MS" w:hAnsi="Cambria Math" w:cs="Arial Unicode MS"/>
                            <w:i/>
                            <w:color w:val="000000"/>
                            <w:sz w:val="21"/>
                            <w:szCs w:val="21"/>
                            <w:u w:color="000000"/>
                          </w:rPr>
                        </m:ctrlPr>
                      </m:fPr>
                      <m:num>
                        <m:r>
                          <w:rPr>
                            <w:rFonts w:ascii="Cambria Math" w:hAnsi="Cambria Math"/>
                            <w:sz w:val="21"/>
                            <w:szCs w:val="21"/>
                          </w:rPr>
                          <m:t>t</m:t>
                        </m:r>
                      </m:num>
                      <m:den>
                        <m:r>
                          <w:rPr>
                            <w:rFonts w:ascii="Cambria Math" w:hAnsi="Cambria Math"/>
                            <w:sz w:val="21"/>
                            <w:szCs w:val="21"/>
                          </w:rPr>
                          <m:t>T</m:t>
                        </m:r>
                      </m:den>
                    </m:f>
                  </m:sup>
                </m:sSup>
              </m:num>
              <m:den>
                <m:r>
                  <w:rPr>
                    <w:rFonts w:ascii="Cambria Math" w:hAnsi="Cambria Math"/>
                    <w:sz w:val="21"/>
                    <w:szCs w:val="21"/>
                  </w:rPr>
                  <m:t>T</m:t>
                </m:r>
              </m:den>
            </m:f>
          </m:e>
        </m:d>
      </m:oMath>
      <w:r>
        <w:rPr>
          <w:rStyle w:val="ac"/>
          <w:sz w:val="18"/>
          <w:szCs w:val="18"/>
        </w:rPr>
        <w:t xml:space="preserve"> ,</w:t>
      </w:r>
      <w:r>
        <w:rPr>
          <w:rStyle w:val="ac"/>
          <w:sz w:val="18"/>
          <w:szCs w:val="18"/>
        </w:rPr>
        <w:tab/>
      </w:r>
      <w:r>
        <w:rPr>
          <w:rStyle w:val="ac"/>
          <w:sz w:val="21"/>
          <w:szCs w:val="21"/>
        </w:rPr>
        <w:t>(2)</w:t>
      </w:r>
    </w:p>
    <w:p w14:paraId="0965385F" w14:textId="77777777" w:rsidR="00CF2220" w:rsidRDefault="00CF2220" w:rsidP="00CF2220">
      <w:pPr>
        <w:jc w:val="both"/>
        <w:rPr>
          <w:rStyle w:val="ac"/>
          <w:rFonts w:eastAsiaTheme="minorEastAsia"/>
          <w:shd w:val="clear" w:color="auto" w:fill="FFFFFF"/>
          <w:lang w:eastAsia="ja-JP"/>
        </w:rPr>
      </w:pPr>
      <w:r w:rsidRPr="00CF2220">
        <w:rPr>
          <w:rStyle w:val="ac"/>
          <w:shd w:val="clear" w:color="auto" w:fill="FFFFFF"/>
        </w:rPr>
        <w:t>where the former</w:t>
      </w:r>
      <w:r>
        <w:rPr>
          <w:rStyle w:val="ac"/>
          <w:sz w:val="21"/>
          <w:szCs w:val="21"/>
          <w:shd w:val="clear" w:color="auto" w:fill="FFFFFF"/>
        </w:rPr>
        <w:t xml:space="preserve"> </w:t>
      </w:r>
      <m:oMath>
        <m:r>
          <w:rPr>
            <w:rFonts w:ascii="Cambria Math" w:hAnsi="Cambria Math"/>
            <w:sz w:val="21"/>
            <w:szCs w:val="21"/>
          </w:rPr>
          <m:t>x</m:t>
        </m:r>
        <m:d>
          <m:dPr>
            <m:ctrlPr>
              <w:rPr>
                <w:rFonts w:ascii="Cambria Math" w:eastAsia="Arial Unicode MS" w:hAnsi="Cambria Math" w:cs="Arial Unicode MS"/>
                <w:i/>
                <w:color w:val="000000"/>
                <w:sz w:val="21"/>
                <w:szCs w:val="21"/>
                <w:u w:color="000000"/>
              </w:rPr>
            </m:ctrlPr>
          </m:dPr>
          <m:e>
            <m:r>
              <w:rPr>
                <w:rFonts w:ascii="Cambria Math" w:hAnsi="Cambria Math"/>
                <w:sz w:val="21"/>
                <w:szCs w:val="21"/>
              </w:rPr>
              <m:t>T-t</m:t>
            </m:r>
          </m:e>
        </m:d>
      </m:oMath>
      <w:r>
        <w:rPr>
          <w:rStyle w:val="ac"/>
          <w:sz w:val="21"/>
          <w:szCs w:val="21"/>
          <w:shd w:val="clear" w:color="auto" w:fill="FFFFFF"/>
        </w:rPr>
        <w:t xml:space="preserve"> </w:t>
      </w:r>
      <w:r w:rsidRPr="00CF2220">
        <w:rPr>
          <w:rStyle w:val="ac"/>
          <w:shd w:val="clear" w:color="auto" w:fill="FFFFFF"/>
        </w:rPr>
        <w:t>indicates a time-reversed signal of the sweep sound, and the latter</w:t>
      </w:r>
      <w:r>
        <w:rPr>
          <w:rStyle w:val="ac"/>
          <w:sz w:val="21"/>
          <w:szCs w:val="21"/>
          <w:shd w:val="clear" w:color="auto" w:fill="FFFFFF"/>
        </w:rPr>
        <w:t xml:space="preserve"> </w:t>
      </w:r>
      <m:oMath>
        <m:d>
          <m:dPr>
            <m:begChr m:val="{"/>
            <m:endChr m:val="}"/>
            <m:ctrlPr>
              <w:rPr>
                <w:rFonts w:ascii="Cambria Math" w:eastAsia="Arial Unicode MS" w:hAnsi="Cambria Math" w:cs="Arial Unicode MS"/>
                <w:i/>
                <w:color w:val="000000"/>
                <w:sz w:val="21"/>
                <w:szCs w:val="21"/>
                <w:u w:color="000000"/>
              </w:rPr>
            </m:ctrlPr>
          </m:dPr>
          <m:e>
            <m:f>
              <m:fPr>
                <m:type m:val="lin"/>
                <m:ctrlPr>
                  <w:rPr>
                    <w:rFonts w:ascii="Cambria Math" w:eastAsia="Arial Unicode MS" w:hAnsi="Cambria Math" w:cs="Arial Unicode MS"/>
                    <w:i/>
                    <w:color w:val="000000"/>
                    <w:sz w:val="21"/>
                    <w:szCs w:val="21"/>
                    <w:u w:color="000000"/>
                  </w:rPr>
                </m:ctrlPr>
              </m:fPr>
              <m:num>
                <m:sSup>
                  <m:sSupPr>
                    <m:ctrlPr>
                      <w:rPr>
                        <w:rFonts w:ascii="Cambria Math" w:eastAsia="Arial Unicode MS" w:hAnsi="Cambria Math" w:cs="Arial Unicode MS"/>
                        <w:color w:val="000000"/>
                        <w:u w:color="000000"/>
                      </w:rPr>
                    </m:ctrlPr>
                  </m:sSupPr>
                  <m:e>
                    <m:d>
                      <m:dPr>
                        <m:ctrlPr>
                          <w:rPr>
                            <w:rFonts w:ascii="Cambria Math" w:eastAsia="Arial Unicode MS" w:hAnsi="Cambria Math" w:cs="Arial Unicode MS"/>
                            <w:i/>
                            <w:color w:val="000000"/>
                            <w:sz w:val="21"/>
                            <w:szCs w:val="21"/>
                            <w:u w:color="000000"/>
                          </w:rPr>
                        </m:ctrlPr>
                      </m:dPr>
                      <m:e>
                        <m:f>
                          <m:fPr>
                            <m:ctrlPr>
                              <w:rPr>
                                <w:rFonts w:ascii="Cambria Math" w:eastAsia="Arial Unicode MS" w:hAnsi="Cambria Math" w:cs="Arial Unicode MS"/>
                                <w:i/>
                                <w:color w:val="000000"/>
                                <w:sz w:val="21"/>
                                <w:szCs w:val="21"/>
                                <w:u w:color="000000"/>
                              </w:rPr>
                            </m:ctrlPr>
                          </m:fPr>
                          <m:num>
                            <m:sSub>
                              <m:sSubPr>
                                <m:ctrlPr>
                                  <w:rPr>
                                    <w:rFonts w:ascii="Cambria Math" w:eastAsia="Arial Unicode MS" w:hAnsi="Cambria Math" w:cs="Arial Unicode MS"/>
                                    <w:color w:val="000000"/>
                                    <w:u w:color="000000"/>
                                  </w:rPr>
                                </m:ctrlPr>
                              </m:sSubPr>
                              <m:e>
                                <m:r>
                                  <w:rPr>
                                    <w:rFonts w:ascii="Cambria Math" w:hAnsi="Cambria Math"/>
                                    <w:sz w:val="21"/>
                                    <w:szCs w:val="21"/>
                                  </w:rPr>
                                  <m:t>f</m:t>
                                </m:r>
                              </m:e>
                              <m:sub>
                                <m:r>
                                  <w:rPr>
                                    <w:rFonts w:ascii="Cambria Math" w:hAnsi="Cambria Math"/>
                                    <w:sz w:val="21"/>
                                    <w:szCs w:val="21"/>
                                  </w:rPr>
                                  <m:t>end</m:t>
                                </m:r>
                              </m:sub>
                            </m:sSub>
                          </m:num>
                          <m:den>
                            <m:sSub>
                              <m:sSubPr>
                                <m:ctrlPr>
                                  <w:rPr>
                                    <w:rFonts w:ascii="Cambria Math" w:eastAsia="Arial Unicode MS" w:hAnsi="Cambria Math" w:cs="Arial Unicode MS"/>
                                    <w:color w:val="000000"/>
                                    <w:u w:color="000000"/>
                                  </w:rPr>
                                </m:ctrlPr>
                              </m:sSubPr>
                              <m:e>
                                <m:r>
                                  <w:rPr>
                                    <w:rFonts w:ascii="Cambria Math" w:hAnsi="Cambria Math"/>
                                    <w:sz w:val="21"/>
                                    <w:szCs w:val="21"/>
                                  </w:rPr>
                                  <m:t>f</m:t>
                                </m:r>
                              </m:e>
                              <m:sub>
                                <m:r>
                                  <w:rPr>
                                    <w:rFonts w:ascii="Cambria Math" w:hAnsi="Cambria Math"/>
                                    <w:sz w:val="21"/>
                                    <w:szCs w:val="21"/>
                                  </w:rPr>
                                  <m:t>start</m:t>
                                </m:r>
                              </m:sub>
                            </m:sSub>
                          </m:den>
                        </m:f>
                      </m:e>
                    </m:d>
                  </m:e>
                  <m:sup>
                    <m:f>
                      <m:fPr>
                        <m:type m:val="lin"/>
                        <m:ctrlPr>
                          <w:rPr>
                            <w:rFonts w:ascii="Cambria Math" w:eastAsia="Arial Unicode MS" w:hAnsi="Cambria Math" w:cs="Arial Unicode MS"/>
                            <w:i/>
                            <w:color w:val="000000"/>
                            <w:sz w:val="21"/>
                            <w:szCs w:val="21"/>
                            <w:u w:color="000000"/>
                          </w:rPr>
                        </m:ctrlPr>
                      </m:fPr>
                      <m:num>
                        <m:r>
                          <w:rPr>
                            <w:rFonts w:ascii="Cambria Math" w:hAnsi="Cambria Math"/>
                            <w:sz w:val="21"/>
                            <w:szCs w:val="21"/>
                          </w:rPr>
                          <m:t>t</m:t>
                        </m:r>
                      </m:num>
                      <m:den>
                        <m:r>
                          <w:rPr>
                            <w:rFonts w:ascii="Cambria Math" w:hAnsi="Cambria Math"/>
                            <w:sz w:val="21"/>
                            <w:szCs w:val="21"/>
                          </w:rPr>
                          <m:t>T</m:t>
                        </m:r>
                      </m:den>
                    </m:f>
                  </m:sup>
                </m:sSup>
              </m:num>
              <m:den>
                <m:r>
                  <w:rPr>
                    <w:rFonts w:ascii="Cambria Math" w:hAnsi="Cambria Math"/>
                    <w:sz w:val="21"/>
                    <w:szCs w:val="21"/>
                  </w:rPr>
                  <m:t>T</m:t>
                </m:r>
              </m:den>
            </m:f>
          </m:e>
        </m:d>
      </m:oMath>
      <w:r>
        <w:rPr>
          <w:rStyle w:val="ac"/>
        </w:rPr>
        <w:t xml:space="preserve"> </w:t>
      </w:r>
      <w:r w:rsidRPr="00CF2220">
        <w:rPr>
          <w:rStyle w:val="ac"/>
          <w:shd w:val="clear" w:color="auto" w:fill="FFFFFF"/>
        </w:rPr>
        <w:t>is to compensate for frequencies exponentially changing with time. Such a compensation is necessary because the exponential change in frequency of the sweep sound produces an impulse response that is biased towards the relatively low frequencies.</w:t>
      </w:r>
      <w:r w:rsidRPr="00CF2220">
        <w:rPr>
          <w:rStyle w:val="ac"/>
          <w:color w:val="FF0000"/>
          <w:shd w:val="clear" w:color="auto" w:fill="FFFFFF"/>
        </w:rPr>
        <w:t xml:space="preserve"> </w:t>
      </w:r>
      <w:r w:rsidRPr="00CF2220">
        <w:rPr>
          <w:rStyle w:val="ac"/>
          <w:shd w:val="clear" w:color="auto" w:fill="FFFFFF"/>
        </w:rPr>
        <w:t>The response sound from the sample was processed with this filter. It achieved a high degree of S/N ratio.</w:t>
      </w:r>
    </w:p>
    <w:p w14:paraId="57CF3D91" w14:textId="7CF31F89" w:rsidR="00116FD9" w:rsidRPr="00116FD9" w:rsidRDefault="00116FD9" w:rsidP="00116FD9">
      <w:pPr>
        <w:ind w:firstLine="5.25pt"/>
        <w:jc w:val="both"/>
        <w:rPr>
          <w:rStyle w:val="ac"/>
          <w:rFonts w:eastAsiaTheme="minorEastAsia"/>
          <w:shd w:val="clear" w:color="auto" w:fill="FFFFFF"/>
          <w:lang w:eastAsia="ja-JP"/>
        </w:rPr>
      </w:pPr>
      <w:r w:rsidRPr="00116FD9">
        <w:rPr>
          <w:rStyle w:val="ac"/>
          <w:shd w:val="clear" w:color="auto" w:fill="FFFFFF"/>
        </w:rPr>
        <w:t xml:space="preserve">Farina's technique tends to introduce nonlinear distortion before the main peak. The impulse response before the peak can, therefore, be ignored.  In this study, sampling started at the main peak, and frequency response was calculated from the following 8,192 data with the Fast Fourier Transformation (FFT). All processing, from sweep sound generation to FFT calculations, is carried out by a smartphone app written in the Swift language. The captured sound contains errors due to ambient noise and sample variations, but this technique is able to extract the frequency response of the sample itself. </w:t>
      </w:r>
    </w:p>
    <w:p w14:paraId="71EEBC8D" w14:textId="637C8DCB" w:rsidR="00116FD9" w:rsidRPr="00DC1DE7" w:rsidRDefault="00116FD9" w:rsidP="00BA2D2F">
      <w:pPr>
        <w:pStyle w:val="1"/>
        <w:ind w:start="18pt"/>
      </w:pPr>
      <w:r w:rsidRPr="00DC1DE7">
        <w:rPr>
          <w:rStyle w:val="ac"/>
        </w:rPr>
        <w:t>Experiment</w:t>
      </w:r>
    </w:p>
    <w:p w14:paraId="6EC46914" w14:textId="77777777" w:rsidR="00116FD9" w:rsidRDefault="00116FD9" w:rsidP="00116FD9">
      <w:pPr>
        <w:ind w:firstLine="5.25pt"/>
        <w:jc w:val="both"/>
        <w:rPr>
          <w:rStyle w:val="ac"/>
          <w:rFonts w:eastAsiaTheme="minorEastAsia"/>
          <w:lang w:eastAsia="ja-JP"/>
        </w:rPr>
      </w:pPr>
      <w:r w:rsidRPr="00116FD9">
        <w:rPr>
          <w:rStyle w:val="ac"/>
        </w:rPr>
        <w:t xml:space="preserve">In this experiment, we set a sampling rate of 48 kHz, </w:t>
      </w:r>
      <w:r w:rsidRPr="00116FD9">
        <w:rPr>
          <w:rStyle w:val="ac"/>
          <w:i/>
          <w:iCs/>
          <w:shd w:val="clear" w:color="auto" w:fill="FFFFFF"/>
        </w:rPr>
        <w:t>f</w:t>
      </w:r>
      <w:r w:rsidRPr="00116FD9">
        <w:rPr>
          <w:rStyle w:val="ac"/>
          <w:shd w:val="clear" w:color="auto" w:fill="FFFFFF"/>
          <w:vertAlign w:val="subscript"/>
        </w:rPr>
        <w:t>start</w:t>
      </w:r>
      <w:r w:rsidRPr="00116FD9">
        <w:rPr>
          <w:rStyle w:val="ac"/>
        </w:rPr>
        <w:t xml:space="preserve"> of 1 Hz,  </w:t>
      </w:r>
      <w:r w:rsidRPr="00116FD9">
        <w:rPr>
          <w:rStyle w:val="ac"/>
          <w:i/>
          <w:iCs/>
          <w:shd w:val="clear" w:color="auto" w:fill="FFFFFF"/>
        </w:rPr>
        <w:t>f</w:t>
      </w:r>
      <w:r w:rsidRPr="00116FD9">
        <w:rPr>
          <w:rStyle w:val="ac"/>
          <w:shd w:val="clear" w:color="auto" w:fill="FFFFFF"/>
          <w:vertAlign w:val="subscript"/>
        </w:rPr>
        <w:t>end</w:t>
      </w:r>
      <w:r w:rsidRPr="00116FD9">
        <w:rPr>
          <w:rStyle w:val="ac"/>
        </w:rPr>
        <w:t xml:space="preserve"> of 20 kHz, and T of 5 s for sweep sound. An Apple iPhone SE2 is used as the measurement device. </w:t>
      </w:r>
    </w:p>
    <w:p w14:paraId="5F8989F7" w14:textId="77777777" w:rsidR="003A51CD" w:rsidRDefault="003A51CD" w:rsidP="00116FD9">
      <w:pPr>
        <w:ind w:firstLine="5.25pt"/>
        <w:jc w:val="both"/>
        <w:rPr>
          <w:rStyle w:val="ac"/>
          <w:rFonts w:eastAsiaTheme="minorEastAsia"/>
          <w:lang w:eastAsia="ja-JP"/>
        </w:rPr>
      </w:pPr>
    </w:p>
    <w:p w14:paraId="2A86B647" w14:textId="77777777" w:rsidR="003A51CD" w:rsidRDefault="003A51CD" w:rsidP="00116FD9">
      <w:pPr>
        <w:ind w:firstLine="5.25pt"/>
        <w:jc w:val="both"/>
        <w:rPr>
          <w:rStyle w:val="ac"/>
          <w:rFonts w:eastAsiaTheme="minorEastAsia"/>
          <w:lang w:eastAsia="ja-JP"/>
        </w:rPr>
      </w:pPr>
    </w:p>
    <w:p w14:paraId="1DC06616" w14:textId="77777777" w:rsidR="003A51CD" w:rsidRDefault="003A51CD" w:rsidP="00116FD9">
      <w:pPr>
        <w:ind w:firstLine="5.25pt"/>
        <w:jc w:val="both"/>
        <w:rPr>
          <w:rStyle w:val="ac"/>
          <w:rFonts w:eastAsiaTheme="minorEastAsia"/>
          <w:lang w:eastAsia="ja-JP"/>
        </w:rPr>
      </w:pPr>
    </w:p>
    <w:p w14:paraId="525CF84C" w14:textId="77777777" w:rsidR="003A51CD" w:rsidRPr="003A51CD" w:rsidRDefault="003A51CD" w:rsidP="00116FD9">
      <w:pPr>
        <w:ind w:firstLine="5.25pt"/>
        <w:jc w:val="both"/>
        <w:rPr>
          <w:rStyle w:val="ac"/>
          <w:rFonts w:eastAsiaTheme="minorEastAsia"/>
          <w:lang w:eastAsia="ja-JP"/>
        </w:rPr>
      </w:pPr>
    </w:p>
    <w:p w14:paraId="000007D9" w14:textId="77777777" w:rsidR="00116FD9" w:rsidRPr="00116FD9" w:rsidRDefault="00116FD9" w:rsidP="00116FD9">
      <w:pPr>
        <w:ind w:firstLine="5.25pt"/>
        <w:jc w:val="both"/>
        <w:rPr>
          <w:rStyle w:val="ac"/>
        </w:rPr>
      </w:pPr>
      <w:r w:rsidRPr="00116FD9">
        <w:rPr>
          <w:rStyle w:val="ac"/>
        </w:rPr>
        <w:lastRenderedPageBreak/>
        <w:t>As shown in Fig. 2, the measurement sample is adhered to the smartphone with a 1-mm-thich gel tape. Samples are made by dissolving 3.25, 5.0, 7.5, and 10.0 g of gelatin powder (“Cock Gelatine,” Morinaga Seika) in 50 ml of water, respectively. To confirm the reproducibility of the response frequency, the hardness of the sample was measured 18 times for each sample.</w:t>
      </w:r>
    </w:p>
    <w:p w14:paraId="7156A4BB" w14:textId="61941D02" w:rsidR="00116FD9" w:rsidRPr="00116FD9" w:rsidRDefault="00547AED" w:rsidP="00116FD9">
      <w:pPr>
        <w:spacing w:before="12pt"/>
        <w:rPr>
          <w:rStyle w:val="ac"/>
          <w:rFonts w:eastAsiaTheme="minorEastAsia"/>
          <w:sz w:val="21"/>
          <w:szCs w:val="21"/>
          <w:lang w:eastAsia="ja-JP"/>
        </w:rPr>
      </w:pPr>
      <w:r>
        <w:rPr>
          <w:noProof/>
        </w:rPr>
        <w:drawing>
          <wp:inline distT="0" distB="0" distL="0" distR="0" wp14:anchorId="173D9B69" wp14:editId="317FC883">
            <wp:extent cx="3050540" cy="1555115"/>
            <wp:effectExtent l="0" t="0" r="0" b="6985"/>
            <wp:docPr id="1073741826" name="officeArt object" descr="固定器具.svg"/>
            <wp:cNvGraphicFramePr/>
            <a:graphic xmlns:a="http://purl.oclc.org/ooxml/drawingml/main">
              <a:graphicData uri="http://purl.oclc.org/ooxml/drawingml/picture">
                <pic:pic xmlns:pic="http://purl.oclc.org/ooxml/drawingml/picture">
                  <pic:nvPicPr>
                    <pic:cNvPr id="1073741826" name="officeArt object" descr="固定器具.svg"/>
                    <pic:cNvPicPr/>
                  </pic:nvPicPr>
                  <pic:blipFill>
                    <a:blip r:embed="rId11"/>
                    <a:srcRect t="38.051%" r="1.756%" b="17.875%"/>
                    <a:stretch>
                      <a:fillRect/>
                    </a:stretch>
                  </pic:blipFill>
                  <pic:spPr>
                    <a:xfrm>
                      <a:off x="0" y="0"/>
                      <a:ext cx="3050540" cy="1555115"/>
                    </a:xfrm>
                    <a:prstGeom prst="rect">
                      <a:avLst/>
                    </a:prstGeom>
                    <a:ln w="12700" cap="flat">
                      <a:noFill/>
                      <a:miter lim="400%"/>
                    </a:ln>
                    <a:effectLst/>
                  </pic:spPr>
                </pic:pic>
              </a:graphicData>
            </a:graphic>
          </wp:inline>
        </w:drawing>
      </w:r>
    </w:p>
    <w:p w14:paraId="5AE2D5B8" w14:textId="72C5365D" w:rsidR="00116FD9" w:rsidRPr="00116FD9" w:rsidRDefault="00116FD9" w:rsidP="00116FD9">
      <w:pPr>
        <w:pStyle w:val="figurecaption"/>
        <w:rPr>
          <w:rStyle w:val="ac"/>
        </w:rPr>
      </w:pPr>
      <w:r w:rsidRPr="00116FD9">
        <w:rPr>
          <w:rStyle w:val="ac"/>
        </w:rPr>
        <w:t>Apparatus for securing smartphone and gelatin samples.</w:t>
      </w:r>
    </w:p>
    <w:p w14:paraId="1FE54A1F" w14:textId="614361AD" w:rsidR="003A51CD" w:rsidRPr="003A51CD" w:rsidRDefault="00116FD9" w:rsidP="003A51CD">
      <w:pPr>
        <w:jc w:val="both"/>
        <w:rPr>
          <w:rFonts w:eastAsiaTheme="minorEastAsia"/>
          <w:lang w:eastAsia="ja-JP"/>
        </w:rPr>
      </w:pPr>
      <w:r w:rsidRPr="00116FD9">
        <w:rPr>
          <w:rStyle w:val="ac"/>
        </w:rPr>
        <w:t>The frequency response measured in a range from 1 to 5 kHz is classified using Principal Component Analysis (PCA). Setting frequency response as an explanatory variable and gelatin content as a response variable, Support Vector Machine (SVM) with Radial Basis Function kernel is applied using k-fold cross-validation with 9-Fold to verify classification accuracy.</w:t>
      </w:r>
    </w:p>
    <w:p w14:paraId="68A5E8AA" w14:textId="529CAED6" w:rsidR="009303D9" w:rsidRPr="00BA2D2F" w:rsidRDefault="00DC1DE7" w:rsidP="00BA2D2F">
      <w:pPr>
        <w:pStyle w:val="1"/>
      </w:pPr>
      <w:r w:rsidRPr="00DC1DE7">
        <w:rPr>
          <w:rStyle w:val="ac"/>
        </w:rPr>
        <w:t>Results and discussion</w:t>
      </w:r>
    </w:p>
    <w:p w14:paraId="237BAFBA" w14:textId="7DF37221" w:rsidR="00DC1DE7" w:rsidRDefault="00DC1DE7" w:rsidP="00DC1DE7">
      <w:pPr>
        <w:pStyle w:val="2"/>
      </w:pPr>
      <w:r>
        <w:rPr>
          <w:rStyle w:val="ac"/>
        </w:rPr>
        <w:t>Frequency characteristics of each gelatin sample</w:t>
      </w:r>
    </w:p>
    <w:p w14:paraId="719785CF" w14:textId="77777777" w:rsidR="00DC1DE7" w:rsidRPr="00DC1DE7" w:rsidRDefault="00DC1DE7" w:rsidP="00DC1DE7">
      <w:pPr>
        <w:ind w:firstLine="5.25pt"/>
        <w:jc w:val="both"/>
        <w:rPr>
          <w:rStyle w:val="ac"/>
        </w:rPr>
      </w:pPr>
      <w:r w:rsidRPr="00DC1DE7">
        <w:rPr>
          <w:rStyle w:val="ac"/>
        </w:rPr>
        <w:t>Figure 3 shows the frequency characteristics of the 4 groups of different gelatin content. The frequency response of 10.0, 7.5, and 5.0-g groups showed peaks in a range from 1 to 3 kHz and fell at 2 kHz, whereas that of the 3.25-g group only had lower amplitude in that range. The frequency response of the box without gelatine is similar to that of the gelatin samples in the range from 1.5 to 3 kHz, but that doesn’t show for the smartphone without the box. Therefore, the range from 1.6 to 3 kHz is considered to be the frequency characteristic of acrylic boxes.</w:t>
      </w:r>
    </w:p>
    <w:p w14:paraId="3FDBBBAB" w14:textId="5D3E4880" w:rsidR="009303D9" w:rsidRPr="00DC1DE7" w:rsidRDefault="00547AED" w:rsidP="00DC1DE7">
      <w:pPr>
        <w:widowControl w:val="0"/>
        <w:tabs>
          <w:tab w:val="start" w:pos="14.40pt"/>
        </w:tabs>
        <w:spacing w:before="12pt"/>
        <w:ind w:firstLine="14.45pt"/>
        <w:rPr>
          <w:rStyle w:val="ac"/>
          <w:rFonts w:eastAsiaTheme="minorEastAsia"/>
          <w:spacing w:val="-1"/>
          <w:sz w:val="21"/>
          <w:szCs w:val="21"/>
          <w:lang w:eastAsia="ja-JP"/>
        </w:rPr>
      </w:pPr>
      <w:r>
        <w:rPr>
          <w:noProof/>
        </w:rPr>
        <w:drawing>
          <wp:inline distT="0" distB="0" distL="0" distR="0" wp14:anchorId="524C1D21" wp14:editId="4D0666CF">
            <wp:extent cx="2698115" cy="1376680"/>
            <wp:effectExtent l="0" t="0" r="6985" b="0"/>
            <wp:docPr id="1073741827" name="officeArt object" descr="fft_results.svg"/>
            <wp:cNvGraphicFramePr/>
            <a:graphic xmlns:a="http://purl.oclc.org/ooxml/drawingml/main">
              <a:graphicData uri="http://purl.oclc.org/ooxml/drawingml/picture">
                <pic:pic xmlns:pic="http://purl.oclc.org/ooxml/drawingml/picture">
                  <pic:nvPicPr>
                    <pic:cNvPr id="1073741827" name="officeArt object" descr="fft_results.svg"/>
                    <pic:cNvPicPr/>
                  </pic:nvPicPr>
                  <pic:blipFill>
                    <a:blip r:embed="rId12"/>
                    <a:srcRect l="5.969%" t="11.198%" r="9.57%" b="2.611%"/>
                    <a:stretch>
                      <a:fillRect/>
                    </a:stretch>
                  </pic:blipFill>
                  <pic:spPr>
                    <a:xfrm>
                      <a:off x="0" y="0"/>
                      <a:ext cx="2698115" cy="1376680"/>
                    </a:xfrm>
                    <a:prstGeom prst="rect">
                      <a:avLst/>
                    </a:prstGeom>
                    <a:ln w="12700" cap="flat">
                      <a:noFill/>
                      <a:miter lim="400%"/>
                    </a:ln>
                    <a:effectLst/>
                  </pic:spPr>
                </pic:pic>
              </a:graphicData>
            </a:graphic>
          </wp:inline>
        </w:drawing>
      </w:r>
    </w:p>
    <w:p w14:paraId="6C18BF1E" w14:textId="5E06FD0F" w:rsidR="00DC1DE7" w:rsidRPr="00DC1DE7" w:rsidRDefault="00DC1DE7" w:rsidP="00DC1DE7">
      <w:pPr>
        <w:pStyle w:val="figurecaption"/>
      </w:pPr>
      <w:r w:rsidRPr="00DC1DE7">
        <w:rPr>
          <w:rStyle w:val="ac"/>
        </w:rPr>
        <w:t>Acoustic Frequency Characteristics of Gelatin Samples.</w:t>
      </w:r>
    </w:p>
    <w:p w14:paraId="6BBB56E6" w14:textId="53A99BAD" w:rsidR="009303D9" w:rsidRDefault="00DC1DE7" w:rsidP="00ED0149">
      <w:pPr>
        <w:pStyle w:val="2"/>
      </w:pPr>
      <w:r>
        <w:rPr>
          <w:rStyle w:val="ac"/>
        </w:rPr>
        <w:t>Principal component analysis of Measurement Data and Classification Accuracy</w:t>
      </w:r>
    </w:p>
    <w:p w14:paraId="3166F181" w14:textId="77777777" w:rsidR="003A51CD" w:rsidRDefault="00DC1DE7" w:rsidP="00DC1DE7">
      <w:pPr>
        <w:ind w:firstLineChars="50" w:firstLine="5pt"/>
        <w:jc w:val="both"/>
        <w:rPr>
          <w:rStyle w:val="ac"/>
          <w:rFonts w:eastAsiaTheme="minorEastAsia"/>
          <w:lang w:eastAsia="ja-JP"/>
        </w:rPr>
      </w:pPr>
      <w:r w:rsidRPr="00DC1DE7">
        <w:rPr>
          <w:rStyle w:val="ac"/>
        </w:rPr>
        <w:t>Figure 4 shows the results of the PCA performed on each of the 72-item data in three dimensions that represent the first, second, and third principal components.</w:t>
      </w:r>
    </w:p>
    <w:p w14:paraId="3C75875B" w14:textId="554BAEF7" w:rsidR="00DC1DE7" w:rsidRPr="00DC1DE7" w:rsidRDefault="00DC1DE7" w:rsidP="00DC1DE7">
      <w:pPr>
        <w:ind w:firstLineChars="50" w:firstLine="5pt"/>
        <w:jc w:val="both"/>
        <w:rPr>
          <w:rStyle w:val="ac"/>
        </w:rPr>
      </w:pPr>
      <w:r w:rsidRPr="00DC1DE7">
        <w:rPr>
          <w:rStyle w:val="ac"/>
        </w:rPr>
        <w:t>The contributions of the second and third principal components were both low; 0.17 for the second and 0.12 for the third, respectively. The principal component scores for each principal component dot fully capture the differences among the gelatin amounts, as there are two types of data with scores close to 0. However, the scores for 3.25, 5.0, 7.5, and 10 g are clustered at relatively close coordinates. As the gelatin content decreases, the principal component scores become more stable and cluster more tightly around certain coordinates. In the first principal component, the negative correlation increased with increasing gelatin content. In the second principal component, a positive correlation was observed except for 7.5 g and 5 g. In the third principal component, negative correlations were observed except for 10 g and 7.5 g. These show that the amount of gelatin affects greatly on the frequency response than the error. The average correct classification by k-fold cross-validation and SVM with frequency response up to 5 kHz as the explanatory variable and gelatin content as the objective variable was about 0.958. This indicates that a simple model such as SVM can easily classify the frequency characteristics of gelatin content.</w:t>
      </w:r>
    </w:p>
    <w:p w14:paraId="03D685E1" w14:textId="5408B2FE" w:rsidR="00DC1DE7" w:rsidRPr="00DC1DE7" w:rsidRDefault="00547AED" w:rsidP="00DC1DE7">
      <w:pPr>
        <w:tabs>
          <w:tab w:val="start" w:pos="14.40pt"/>
        </w:tabs>
        <w:spacing w:before="6pt" w:after="6pt"/>
        <w:rPr>
          <w:rStyle w:val="ac"/>
          <w:rFonts w:eastAsiaTheme="minorEastAsia"/>
          <w:spacing w:val="-1"/>
          <w:sz w:val="21"/>
          <w:szCs w:val="21"/>
          <w:lang w:eastAsia="ja-JP"/>
        </w:rPr>
      </w:pPr>
      <w:r>
        <w:rPr>
          <w:noProof/>
        </w:rPr>
        <w:drawing>
          <wp:inline distT="0" distB="0" distL="0" distR="0" wp14:anchorId="3A6AF0A1" wp14:editId="5DD20A4E">
            <wp:extent cx="2565970" cy="2263698"/>
            <wp:effectExtent l="0" t="0" r="6350" b="3810"/>
            <wp:docPr id="1073741828" name="officeArt object" descr="Drawing 5"/>
            <wp:cNvGraphicFramePr/>
            <a:graphic xmlns:a="http://purl.oclc.org/ooxml/drawingml/main">
              <a:graphicData uri="http://purl.oclc.org/ooxml/drawingml/picture">
                <pic:pic xmlns:pic="http://purl.oclc.org/ooxml/drawingml/picture">
                  <pic:nvPicPr>
                    <pic:cNvPr id="1073741828" name="officeArt object" descr="Drawing 5"/>
                    <pic:cNvPicPr/>
                  </pic:nvPicPr>
                  <pic:blipFill>
                    <a:blip r:embed="rId13"/>
                    <a:stretch>
                      <a:fillRect/>
                    </a:stretch>
                  </pic:blipFill>
                  <pic:spPr>
                    <a:xfrm>
                      <a:off x="0" y="0"/>
                      <a:ext cx="2581998" cy="2277838"/>
                    </a:xfrm>
                    <a:prstGeom prst="rect">
                      <a:avLst/>
                    </a:prstGeom>
                    <a:ln w="12700" cap="flat">
                      <a:noFill/>
                      <a:miter lim="400%"/>
                    </a:ln>
                    <a:effectLst/>
                  </pic:spPr>
                </pic:pic>
              </a:graphicData>
            </a:graphic>
          </wp:inline>
        </w:drawing>
      </w:r>
    </w:p>
    <w:p w14:paraId="1AD71621" w14:textId="1C657B8D" w:rsidR="00BA2D2F" w:rsidRPr="00BA2D2F" w:rsidRDefault="00DC1DE7" w:rsidP="00BA2D2F">
      <w:pPr>
        <w:pStyle w:val="figurecaption"/>
        <w:ind w:start="0pt" w:firstLine="0pt"/>
      </w:pPr>
      <w:r w:rsidRPr="00DC1DE7">
        <w:rPr>
          <w:rStyle w:val="ac"/>
        </w:rPr>
        <w:t>Principal Component Analysis of Acoustic Frequency Characteristics of Gelatin Samples</w:t>
      </w:r>
      <w:r>
        <w:rPr>
          <w:rStyle w:val="ac"/>
          <w:rFonts w:eastAsiaTheme="minorEastAsia" w:hint="eastAsia"/>
          <w:lang w:eastAsia="ja-JP"/>
        </w:rPr>
        <w:t>.</w:t>
      </w:r>
    </w:p>
    <w:p w14:paraId="28558F14" w14:textId="3216631E" w:rsidR="0080791D" w:rsidRPr="003A51CD" w:rsidRDefault="00BA2D2F" w:rsidP="003A51CD">
      <w:pPr>
        <w:pStyle w:val="1"/>
      </w:pPr>
      <w:r w:rsidRPr="003A51CD">
        <w:rPr>
          <w:rStyle w:val="ac"/>
        </w:rPr>
        <w:t>Conclusion</w:t>
      </w:r>
    </w:p>
    <w:p w14:paraId="473F7949" w14:textId="0CE6925A" w:rsidR="009303D9" w:rsidRPr="003A51CD" w:rsidRDefault="00BA2D2F" w:rsidP="00BA2D2F">
      <w:pPr>
        <w:pStyle w:val="a4"/>
        <w:ind w:firstLine="0pt"/>
      </w:pPr>
      <w:r w:rsidRPr="003A51CD">
        <w:rPr>
          <w:rStyle w:val="ac"/>
        </w:rPr>
        <w:t xml:space="preserve"> Our concept, the Swept-Sine technique with a smartphone, was demonstrated. The difference in gelatine content was visually confirmed by the PCA method. The classification using k-fold cross-validation and SVM achieves sufficiently high accuracy, even when the samples were encased in rigid case such as an acrylic box. This demonstrated the possibility of checking the quality of food, even when it is packaged in laminate or other materials, without damaging the food or its packaging. This method will be used to evaluate the quality of edible meats and fruits at grocery stores and supermarkets.</w:t>
      </w:r>
    </w:p>
    <w:p w14:paraId="691CCF77" w14:textId="15774E34" w:rsidR="009303D9" w:rsidRPr="003A51CD" w:rsidRDefault="003A51CD" w:rsidP="003A51CD">
      <w:pPr>
        <w:pStyle w:val="5"/>
        <w:ind w:start="10pt"/>
        <w:rPr>
          <w:rFonts w:eastAsiaTheme="minorEastAsia"/>
          <w:lang w:eastAsia="ja-JP"/>
        </w:rPr>
      </w:pPr>
      <w:r w:rsidRPr="003A51CD">
        <w:rPr>
          <w:rStyle w:val="ac"/>
          <w:spacing w:val="-1"/>
        </w:rPr>
        <w:t>References</w:t>
      </w:r>
    </w:p>
    <w:p w14:paraId="1E60FBC6" w14:textId="77777777" w:rsidR="003A51CD" w:rsidRDefault="003A51CD" w:rsidP="0004781E">
      <w:pPr>
        <w:pStyle w:val="references"/>
        <w:ind w:start="17.70pt" w:hanging="17.70pt"/>
        <w:rPr>
          <w:rStyle w:val="ac"/>
        </w:rPr>
      </w:pPr>
      <w:r>
        <w:rPr>
          <w:rStyle w:val="ac"/>
        </w:rPr>
        <w:t xml:space="preserve">A. Farima, “Simultaneous measurement of impulse response and distortion with a swept-sine technique,” </w:t>
      </w:r>
      <w:r>
        <w:rPr>
          <w:rStyle w:val="ac"/>
          <w:i/>
          <w:iCs/>
        </w:rPr>
        <w:t>Proc. of 108</w:t>
      </w:r>
      <w:r>
        <w:rPr>
          <w:rStyle w:val="ac"/>
          <w:i/>
          <w:iCs/>
          <w:vertAlign w:val="superscript"/>
        </w:rPr>
        <w:t xml:space="preserve"> </w:t>
      </w:r>
      <w:r>
        <w:rPr>
          <w:rStyle w:val="ac"/>
          <w:i/>
          <w:iCs/>
        </w:rPr>
        <w:t>AES</w:t>
      </w:r>
      <w:r>
        <w:rPr>
          <w:rStyle w:val="ac"/>
        </w:rPr>
        <w:t xml:space="preserve">, 5093 (D-4), </w:t>
      </w:r>
      <w:r>
        <w:rPr>
          <w:rStyle w:val="ac"/>
          <w:rFonts w:ascii="ＭＳ 明朝" w:hAnsi="ＭＳ 明朝" w:cs="ＭＳ 明朝" w:hint="eastAsia"/>
        </w:rPr>
        <w:t>(</w:t>
      </w:r>
      <w:r>
        <w:rPr>
          <w:rStyle w:val="ac"/>
        </w:rPr>
        <w:t>2000)</w:t>
      </w:r>
    </w:p>
    <w:p w14:paraId="3686F14A" w14:textId="77777777" w:rsidR="003A51CD" w:rsidRDefault="003A51CD" w:rsidP="003A51CD">
      <w:pPr>
        <w:pStyle w:val="references"/>
        <w:rPr>
          <w:rStyle w:val="ac"/>
          <w:rFonts w:ascii="Cambria" w:eastAsia="Cambria" w:hAnsi="Cambria" w:cs="Cambria"/>
        </w:rPr>
      </w:pPr>
      <w:r>
        <w:rPr>
          <w:rStyle w:val="ac"/>
        </w:rPr>
        <w:t xml:space="preserve">A. Kobayashi, T. Nebashi, and A. Ohta,“Relationship between Food Hardness and Frequency Response Using Swept-Sine Technique,” </w:t>
      </w:r>
      <w:r>
        <w:rPr>
          <w:rStyle w:val="ac"/>
          <w:i/>
          <w:iCs/>
        </w:rPr>
        <w:t>Proc. of IEEE 12th GCCE</w:t>
      </w:r>
      <w:r>
        <w:rPr>
          <w:rStyle w:val="ac"/>
        </w:rPr>
        <w:t>, p.242, (2023).</w:t>
      </w:r>
    </w:p>
    <w:p w14:paraId="6A531ECF" w14:textId="02A64981" w:rsidR="00836367" w:rsidRPr="003A51CD" w:rsidRDefault="00836367" w:rsidP="008B6524">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ja-JP"/>
        </w:rPr>
        <w:sectPr w:rsidR="00836367" w:rsidRPr="003A51CD" w:rsidSect="003B4E04">
          <w:type w:val="continuous"/>
          <w:pgSz w:w="595.30pt" w:h="841.90pt" w:code="9"/>
          <w:pgMar w:top="54pt" w:right="45.35pt" w:bottom="72pt" w:left="45.35pt" w:header="36pt" w:footer="36pt" w:gutter="0pt"/>
          <w:cols w:num="2" w:space="18pt"/>
          <w:docGrid w:linePitch="360"/>
        </w:sectPr>
      </w:pPr>
    </w:p>
    <w:p w14:paraId="11D1DBF8" w14:textId="30A5E05B" w:rsidR="009303D9" w:rsidRPr="003A51CD" w:rsidRDefault="009303D9" w:rsidP="005B520E">
      <w:pPr>
        <w:rPr>
          <w:rFonts w:eastAsiaTheme="minorEastAsia"/>
          <w:lang w:eastAsia="ja-JP"/>
        </w:rPr>
      </w:pPr>
    </w:p>
    <w:sectPr w:rsidR="009303D9" w:rsidRPr="003A51C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35B467F" w14:textId="77777777" w:rsidR="00777EA3" w:rsidRDefault="00777EA3" w:rsidP="001A3B3D">
      <w:r>
        <w:separator/>
      </w:r>
    </w:p>
  </w:endnote>
  <w:endnote w:type="continuationSeparator" w:id="0">
    <w:p w14:paraId="40E996F7" w14:textId="77777777" w:rsidR="00777EA3" w:rsidRDefault="00777E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Unicode MS">
    <w:panose1 w:val="020B0604020202020204"/>
    <w:charset w:characterSet="iso-8859-1"/>
    <w:family w:val="roman"/>
    <w:pitch w:val="variable"/>
    <w:sig w:usb0="00000003" w:usb1="00000000" w:usb2="0000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游明朝">
    <w:panose1 w:val="02020400000000000000"/>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mbria">
    <w:panose1 w:val="02040503050406030204"/>
    <w:charset w:characterSet="iso-8859-1"/>
    <w:family w:val="roman"/>
    <w:pitch w:val="variable"/>
    <w:sig w:usb0="E00006FF" w:usb1="420024FF" w:usb2="02000000" w:usb3="00000000" w:csb0="000001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6B40ECE" w14:textId="591A5184" w:rsidR="001A3B3D" w:rsidRPr="006F6D3D" w:rsidRDefault="001A3B3D" w:rsidP="0056610F">
    <w:pPr>
      <w:pStyle w:val="a8"/>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C2E92D" w14:textId="77777777" w:rsidR="00777EA3" w:rsidRDefault="00777EA3" w:rsidP="001A3B3D">
      <w:r>
        <w:separator/>
      </w:r>
    </w:p>
  </w:footnote>
  <w:footnote w:type="continuationSeparator" w:id="0">
    <w:p w14:paraId="0155C23F" w14:textId="77777777" w:rsidR="00777EA3" w:rsidRDefault="00777E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344158"/>
    <w:multiLevelType w:val="hybridMultilevel"/>
    <w:tmpl w:val="AE0CB438"/>
    <w:numStyleLink w:val="a"/>
  </w:abstractNum>
  <w:abstractNum w:abstractNumId="12" w15:restartNumberingAfterBreak="0">
    <w:nsid w:val="0D412BDC"/>
    <w:multiLevelType w:val="hybridMultilevel"/>
    <w:tmpl w:val="C91A5EE4"/>
    <w:styleLink w:val="10"/>
    <w:lvl w:ilvl="0" w:tplc="B8A4DF32">
      <w:start w:val="1"/>
      <w:numFmt w:val="upperRoman"/>
      <w:lvlText w:val="%1."/>
      <w:lvlJc w:val="start"/>
      <w:pPr>
        <w:tabs>
          <w:tab w:val="start" w:pos="10.75pt"/>
        </w:tabs>
        <w:ind w:start="27.90pt" w:hanging="10.0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0B5403FA">
      <w:start w:val="1"/>
      <w:numFmt w:val="decimal"/>
      <w:lvlText w:val="%2."/>
      <w:lvlJc w:val="start"/>
      <w:pPr>
        <w:tabs>
          <w:tab w:val="start" w:pos="10.75pt"/>
        </w:tabs>
        <w:ind w:start="5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FE4A2A14">
      <w:start w:val="1"/>
      <w:numFmt w:val="decimal"/>
      <w:lvlText w:val="%3."/>
      <w:lvlJc w:val="start"/>
      <w:pPr>
        <w:tabs>
          <w:tab w:val="start" w:pos="10.75pt"/>
        </w:tabs>
        <w:ind w:start="9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E8C8B80">
      <w:start w:val="1"/>
      <w:numFmt w:val="decimal"/>
      <w:lvlText w:val="%4."/>
      <w:lvlJc w:val="start"/>
      <w:pPr>
        <w:tabs>
          <w:tab w:val="start" w:pos="10.75pt"/>
        </w:tabs>
        <w:ind w:start="13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3D2EA1F8">
      <w:start w:val="1"/>
      <w:numFmt w:val="decimal"/>
      <w:lvlText w:val="%5."/>
      <w:lvlJc w:val="start"/>
      <w:pPr>
        <w:tabs>
          <w:tab w:val="start" w:pos="10.75pt"/>
        </w:tabs>
        <w:ind w:start="17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28908032">
      <w:start w:val="1"/>
      <w:numFmt w:val="decimal"/>
      <w:lvlText w:val="%6."/>
      <w:lvlJc w:val="start"/>
      <w:pPr>
        <w:tabs>
          <w:tab w:val="start" w:pos="10.75pt"/>
        </w:tabs>
        <w:ind w:start="21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A022B988">
      <w:start w:val="1"/>
      <w:numFmt w:val="decimal"/>
      <w:lvlText w:val="%7."/>
      <w:lvlJc w:val="start"/>
      <w:pPr>
        <w:tabs>
          <w:tab w:val="start" w:pos="10.75pt"/>
        </w:tabs>
        <w:ind w:start="25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4946150">
      <w:start w:val="1"/>
      <w:numFmt w:val="decimal"/>
      <w:lvlText w:val="%8."/>
      <w:lvlJc w:val="start"/>
      <w:pPr>
        <w:tabs>
          <w:tab w:val="start" w:pos="10.75pt"/>
        </w:tabs>
        <w:ind w:start="29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13C91E6">
      <w:start w:val="1"/>
      <w:numFmt w:val="decimal"/>
      <w:lvlText w:val="%9."/>
      <w:lvlJc w:val="start"/>
      <w:pPr>
        <w:tabs>
          <w:tab w:val="start" w:pos="10.75pt"/>
        </w:tabs>
        <w:ind w:start="330.55pt" w:hanging="10.55pt"/>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154C3736"/>
    <w:multiLevelType w:val="hybridMultilevel"/>
    <w:tmpl w:val="7E7A94B4"/>
    <w:lvl w:ilvl="0" w:tplc="0409001B">
      <w:start w:val="1"/>
      <w:numFmt w:val="lowerRoman"/>
      <w:lvlText w:val="%1."/>
      <w:lvlJc w:val="end"/>
      <w:pPr>
        <w:ind w:start="22pt" w:hanging="22pt"/>
      </w:pPr>
    </w:lvl>
    <w:lvl w:ilvl="1" w:tplc="04090017" w:tentative="1">
      <w:start w:val="1"/>
      <w:numFmt w:val="aiueoFullWidth"/>
      <w:lvlText w:val="(%2)"/>
      <w:lvlJc w:val="start"/>
      <w:pPr>
        <w:ind w:start="44pt" w:hanging="22pt"/>
      </w:pPr>
    </w:lvl>
    <w:lvl w:ilvl="2" w:tplc="04090011" w:tentative="1">
      <w:start w:val="1"/>
      <w:numFmt w:val="decimalEnclosedCircle"/>
      <w:lvlText w:val="%3"/>
      <w:lvlJc w:val="start"/>
      <w:pPr>
        <w:ind w:start="66pt" w:hanging="22pt"/>
      </w:pPr>
    </w:lvl>
    <w:lvl w:ilvl="3" w:tplc="0409000F" w:tentative="1">
      <w:start w:val="1"/>
      <w:numFmt w:val="decimal"/>
      <w:lvlText w:val="%4."/>
      <w:lvlJc w:val="start"/>
      <w:pPr>
        <w:ind w:start="88pt" w:hanging="22pt"/>
      </w:pPr>
    </w:lvl>
    <w:lvl w:ilvl="4" w:tplc="04090017" w:tentative="1">
      <w:start w:val="1"/>
      <w:numFmt w:val="aiueoFullWidth"/>
      <w:lvlText w:val="(%5)"/>
      <w:lvlJc w:val="start"/>
      <w:pPr>
        <w:ind w:start="110pt" w:hanging="22pt"/>
      </w:pPr>
    </w:lvl>
    <w:lvl w:ilvl="5" w:tplc="04090011" w:tentative="1">
      <w:start w:val="1"/>
      <w:numFmt w:val="decimalEnclosedCircle"/>
      <w:lvlText w:val="%6"/>
      <w:lvlJc w:val="start"/>
      <w:pPr>
        <w:ind w:start="132pt" w:hanging="22pt"/>
      </w:pPr>
    </w:lvl>
    <w:lvl w:ilvl="6" w:tplc="0409000F" w:tentative="1">
      <w:start w:val="1"/>
      <w:numFmt w:val="decimal"/>
      <w:lvlText w:val="%7."/>
      <w:lvlJc w:val="start"/>
      <w:pPr>
        <w:ind w:start="154pt" w:hanging="22pt"/>
      </w:pPr>
    </w:lvl>
    <w:lvl w:ilvl="7" w:tplc="04090017" w:tentative="1">
      <w:start w:val="1"/>
      <w:numFmt w:val="aiueoFullWidth"/>
      <w:lvlText w:val="(%8)"/>
      <w:lvlJc w:val="start"/>
      <w:pPr>
        <w:ind w:start="176pt" w:hanging="22pt"/>
      </w:pPr>
    </w:lvl>
    <w:lvl w:ilvl="8" w:tplc="04090011" w:tentative="1">
      <w:start w:val="1"/>
      <w:numFmt w:val="decimalEnclosedCircle"/>
      <w:lvlText w:val="%9"/>
      <w:lvlJc w:val="start"/>
      <w:pPr>
        <w:ind w:start="198pt" w:hanging="22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5387D44"/>
    <w:multiLevelType w:val="multilevel"/>
    <w:tmpl w:val="CE6EDBDE"/>
    <w:lvl w:ilvl="0">
      <w:start w:val="1"/>
      <w:numFmt w:val="upperRoman"/>
      <w:lvlText w:val="%1."/>
      <w:lvlJc w:val="start"/>
      <w:pPr>
        <w:tabs>
          <w:tab w:val="num" w:pos="28.80pt"/>
        </w:tabs>
        <w:ind w:firstLine="10.80pt"/>
      </w:pPr>
      <w:rPr>
        <w:rFonts w:hint="eastAsia"/>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25FB3A5E"/>
    <w:multiLevelType w:val="hybridMultilevel"/>
    <w:tmpl w:val="B29A5146"/>
    <w:lvl w:ilvl="0" w:tplc="774C120A">
      <w:start w:val="1"/>
      <w:numFmt w:val="upperRoman"/>
      <w:lvlText w:val="I%1."/>
      <w:lvlJc w:val="start"/>
      <w:pPr>
        <w:ind w:start="22pt" w:hanging="22pt"/>
      </w:pPr>
      <w:rPr>
        <w:rFonts w:hint="eastAsia"/>
      </w:rPr>
    </w:lvl>
    <w:lvl w:ilvl="1" w:tplc="FFFFFFFF" w:tentative="1">
      <w:start w:val="1"/>
      <w:numFmt w:val="aiueoFullWidth"/>
      <w:lvlText w:val="(%2)"/>
      <w:lvlJc w:val="start"/>
      <w:pPr>
        <w:ind w:start="44pt" w:hanging="22pt"/>
      </w:pPr>
    </w:lvl>
    <w:lvl w:ilvl="2" w:tplc="FFFFFFFF" w:tentative="1">
      <w:start w:val="1"/>
      <w:numFmt w:val="decimalEnclosedCircle"/>
      <w:lvlText w:val="%3"/>
      <w:lvlJc w:val="start"/>
      <w:pPr>
        <w:ind w:start="66pt" w:hanging="22pt"/>
      </w:pPr>
    </w:lvl>
    <w:lvl w:ilvl="3" w:tplc="FFFFFFFF" w:tentative="1">
      <w:start w:val="1"/>
      <w:numFmt w:val="decimal"/>
      <w:lvlText w:val="%4."/>
      <w:lvlJc w:val="start"/>
      <w:pPr>
        <w:ind w:start="88pt" w:hanging="22pt"/>
      </w:pPr>
    </w:lvl>
    <w:lvl w:ilvl="4" w:tplc="FFFFFFFF" w:tentative="1">
      <w:start w:val="1"/>
      <w:numFmt w:val="aiueoFullWidth"/>
      <w:lvlText w:val="(%5)"/>
      <w:lvlJc w:val="start"/>
      <w:pPr>
        <w:ind w:start="110pt" w:hanging="22pt"/>
      </w:pPr>
    </w:lvl>
    <w:lvl w:ilvl="5" w:tplc="FFFFFFFF" w:tentative="1">
      <w:start w:val="1"/>
      <w:numFmt w:val="decimalEnclosedCircle"/>
      <w:lvlText w:val="%6"/>
      <w:lvlJc w:val="start"/>
      <w:pPr>
        <w:ind w:start="132pt" w:hanging="22pt"/>
      </w:pPr>
    </w:lvl>
    <w:lvl w:ilvl="6" w:tplc="FFFFFFFF" w:tentative="1">
      <w:start w:val="1"/>
      <w:numFmt w:val="decimal"/>
      <w:lvlText w:val="%7."/>
      <w:lvlJc w:val="start"/>
      <w:pPr>
        <w:ind w:start="154pt" w:hanging="22pt"/>
      </w:pPr>
    </w:lvl>
    <w:lvl w:ilvl="7" w:tplc="FFFFFFFF" w:tentative="1">
      <w:start w:val="1"/>
      <w:numFmt w:val="aiueoFullWidth"/>
      <w:lvlText w:val="(%8)"/>
      <w:lvlJc w:val="start"/>
      <w:pPr>
        <w:ind w:start="176pt" w:hanging="22pt"/>
      </w:pPr>
    </w:lvl>
    <w:lvl w:ilvl="8" w:tplc="FFFFFFFF" w:tentative="1">
      <w:start w:val="1"/>
      <w:numFmt w:val="decimalEnclosedCircle"/>
      <w:lvlText w:val="%9"/>
      <w:lvlJc w:val="start"/>
      <w:pPr>
        <w:ind w:start="198pt" w:hanging="22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FF554D4"/>
    <w:multiLevelType w:val="multilevel"/>
    <w:tmpl w:val="83E0D000"/>
    <w:lvl w:ilvl="0">
      <w:start w:val="1"/>
      <w:numFmt w:val="upperRoman"/>
      <w:lvlText w:val="I%1."/>
      <w:lvlJc w:val="start"/>
      <w:pPr>
        <w:tabs>
          <w:tab w:val="num" w:pos="28.80pt"/>
        </w:tabs>
        <w:ind w:firstLine="10.80pt"/>
      </w:pPr>
      <w:rPr>
        <w:rFonts w:hint="eastAsia"/>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E222DFC"/>
    <w:multiLevelType w:val="hybridMultilevel"/>
    <w:tmpl w:val="C91A5EE4"/>
    <w:numStyleLink w:val="10"/>
  </w:abstractNum>
  <w:abstractNum w:abstractNumId="25" w15:restartNumberingAfterBreak="0">
    <w:nsid w:val="4F0658A3"/>
    <w:multiLevelType w:val="hybridMultilevel"/>
    <w:tmpl w:val="E10C4C64"/>
    <w:lvl w:ilvl="0" w:tplc="04090013">
      <w:start w:val="1"/>
      <w:numFmt w:val="upperRoman"/>
      <w:lvlText w:val="%1."/>
      <w:lvlJc w:val="start"/>
      <w:pPr>
        <w:tabs>
          <w:tab w:val="start" w:pos="10.75pt"/>
          <w:tab w:val="num" w:pos="28.80pt"/>
        </w:tabs>
        <w:ind w:start="36pt" w:hanging="18pt"/>
      </w:pPr>
      <w:rPr>
        <w:b w:val="0"/>
        <w:bCs w:val="0"/>
        <w:i w:val="0"/>
        <w:iCs w:val="0"/>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1" w:tplc="FFFFFFFF">
      <w:start w:val="1"/>
      <w:numFmt w:val="aiueoFullWidth"/>
      <w:lvlText w:val="(%2)"/>
      <w:lvlJc w:val="start"/>
      <w:pPr>
        <w:tabs>
          <w:tab w:val="start" w:pos="10.75pt"/>
          <w:tab w:val="start" w:pos="28.80pt"/>
          <w:tab w:val="num" w:pos="44pt"/>
        </w:tabs>
        <w:ind w:start="51.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FFFFFFFF">
      <w:start w:val="1"/>
      <w:numFmt w:val="decimalEnclosedCircle"/>
      <w:lvlText w:val="%3"/>
      <w:lvlJc w:val="start"/>
      <w:pPr>
        <w:tabs>
          <w:tab w:val="start" w:pos="10.75pt"/>
          <w:tab w:val="start" w:pos="28.80pt"/>
          <w:tab w:val="num" w:pos="66pt"/>
        </w:tabs>
        <w:ind w:start="73.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FFFFFFFF">
      <w:start w:val="1"/>
      <w:numFmt w:val="decimal"/>
      <w:lvlText w:val="%4."/>
      <w:lvlJc w:val="start"/>
      <w:pPr>
        <w:tabs>
          <w:tab w:val="start" w:pos="10.75pt"/>
          <w:tab w:val="start" w:pos="28.80pt"/>
          <w:tab w:val="num" w:pos="88pt"/>
        </w:tabs>
        <w:ind w:start="95.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FFFFFFFF">
      <w:start w:val="1"/>
      <w:numFmt w:val="aiueoFullWidth"/>
      <w:lvlText w:val="(%5)"/>
      <w:lvlJc w:val="start"/>
      <w:pPr>
        <w:tabs>
          <w:tab w:val="start" w:pos="10.75pt"/>
          <w:tab w:val="start" w:pos="28.80pt"/>
          <w:tab w:val="num" w:pos="110pt"/>
        </w:tabs>
        <w:ind w:start="117.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FFFFFFFF">
      <w:start w:val="1"/>
      <w:numFmt w:val="decimalEnclosedCircle"/>
      <w:lvlText w:val="%6"/>
      <w:lvlJc w:val="start"/>
      <w:pPr>
        <w:tabs>
          <w:tab w:val="start" w:pos="10.75pt"/>
          <w:tab w:val="start" w:pos="28.80pt"/>
          <w:tab w:val="num" w:pos="132pt"/>
        </w:tabs>
        <w:ind w:start="139.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FFFFFFFF">
      <w:start w:val="1"/>
      <w:numFmt w:val="decimal"/>
      <w:lvlText w:val="%7."/>
      <w:lvlJc w:val="start"/>
      <w:pPr>
        <w:tabs>
          <w:tab w:val="start" w:pos="10.75pt"/>
          <w:tab w:val="start" w:pos="28.80pt"/>
          <w:tab w:val="num" w:pos="154pt"/>
        </w:tabs>
        <w:ind w:start="161.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FFFFFFFF">
      <w:start w:val="1"/>
      <w:numFmt w:val="aiueoFullWidth"/>
      <w:lvlText w:val="(%8)"/>
      <w:lvlJc w:val="start"/>
      <w:pPr>
        <w:tabs>
          <w:tab w:val="start" w:pos="10.75pt"/>
          <w:tab w:val="start" w:pos="28.80pt"/>
          <w:tab w:val="num" w:pos="176pt"/>
        </w:tabs>
        <w:ind w:start="183.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FFFFFFFF">
      <w:start w:val="1"/>
      <w:numFmt w:val="decimalEnclosedCircle"/>
      <w:lvlText w:val="%9"/>
      <w:lvlJc w:val="start"/>
      <w:pPr>
        <w:tabs>
          <w:tab w:val="start" w:pos="10.75pt"/>
          <w:tab w:val="start" w:pos="28.80pt"/>
          <w:tab w:val="num" w:pos="198pt"/>
        </w:tabs>
        <w:ind w:start="205.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2970511"/>
    <w:multiLevelType w:val="multilevel"/>
    <w:tmpl w:val="70561D58"/>
    <w:lvl w:ilvl="0">
      <w:start w:val="1"/>
      <w:numFmt w:val="upperRoman"/>
      <w:lvlText w:val="I%1."/>
      <w:lvlJc w:val="start"/>
      <w:pPr>
        <w:tabs>
          <w:tab w:val="num" w:pos="28.80pt"/>
        </w:tabs>
        <w:ind w:firstLine="10.80pt"/>
      </w:pPr>
      <w:rPr>
        <w:rFonts w:hint="eastAsia"/>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696939B0"/>
    <w:multiLevelType w:val="hybridMultilevel"/>
    <w:tmpl w:val="AE0CB438"/>
    <w:styleLink w:val="a"/>
    <w:lvl w:ilvl="0" w:tplc="6E4494D8">
      <w:start w:val="1"/>
      <w:numFmt w:val="upperRoman"/>
      <w:lvlText w:val="%1."/>
      <w:lvlJc w:val="start"/>
      <w:pPr>
        <w:tabs>
          <w:tab w:val="start" w:pos="10.75pt"/>
          <w:tab w:val="num" w:pos="28.80pt"/>
        </w:tabs>
        <w:ind w:start="36pt" w:hanging="18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sz w:val="20"/>
        <w:szCs w:val="20"/>
        <w:highlight w:val="none"/>
        <w:u w:val="none"/>
        <w:effect w:val="none"/>
        <w:vertAlign w:val="baseline"/>
      </w:rPr>
    </w:lvl>
    <w:lvl w:ilvl="1" w:tplc="C65C5D0A">
      <w:start w:val="1"/>
      <w:numFmt w:val="aiueoFullWidth"/>
      <w:lvlText w:val="(%2)"/>
      <w:lvlJc w:val="start"/>
      <w:pPr>
        <w:tabs>
          <w:tab w:val="start" w:pos="10.75pt"/>
          <w:tab w:val="start" w:pos="28.80pt"/>
          <w:tab w:val="num" w:pos="44pt"/>
        </w:tabs>
        <w:ind w:start="51.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B3D2106A">
      <w:start w:val="1"/>
      <w:numFmt w:val="decimalEnclosedCircle"/>
      <w:lvlText w:val="%3"/>
      <w:lvlJc w:val="start"/>
      <w:pPr>
        <w:tabs>
          <w:tab w:val="start" w:pos="10.75pt"/>
          <w:tab w:val="start" w:pos="28.80pt"/>
          <w:tab w:val="num" w:pos="66pt"/>
        </w:tabs>
        <w:ind w:start="73.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F6301AC4">
      <w:start w:val="1"/>
      <w:numFmt w:val="decimal"/>
      <w:lvlText w:val="%4."/>
      <w:lvlJc w:val="start"/>
      <w:pPr>
        <w:tabs>
          <w:tab w:val="start" w:pos="10.75pt"/>
          <w:tab w:val="start" w:pos="28.80pt"/>
          <w:tab w:val="num" w:pos="88pt"/>
        </w:tabs>
        <w:ind w:start="95.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27323692">
      <w:start w:val="1"/>
      <w:numFmt w:val="aiueoFullWidth"/>
      <w:lvlText w:val="(%5)"/>
      <w:lvlJc w:val="start"/>
      <w:pPr>
        <w:tabs>
          <w:tab w:val="start" w:pos="10.75pt"/>
          <w:tab w:val="start" w:pos="28.80pt"/>
          <w:tab w:val="num" w:pos="110pt"/>
        </w:tabs>
        <w:ind w:start="117.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0C4ABE70">
      <w:start w:val="1"/>
      <w:numFmt w:val="decimalEnclosedCircle"/>
      <w:lvlText w:val="%6"/>
      <w:lvlJc w:val="start"/>
      <w:pPr>
        <w:tabs>
          <w:tab w:val="start" w:pos="10.75pt"/>
          <w:tab w:val="start" w:pos="28.80pt"/>
          <w:tab w:val="num" w:pos="132pt"/>
        </w:tabs>
        <w:ind w:start="139.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70609480">
      <w:start w:val="1"/>
      <w:numFmt w:val="decimal"/>
      <w:lvlText w:val="%7."/>
      <w:lvlJc w:val="start"/>
      <w:pPr>
        <w:tabs>
          <w:tab w:val="start" w:pos="10.75pt"/>
          <w:tab w:val="start" w:pos="28.80pt"/>
          <w:tab w:val="num" w:pos="154pt"/>
        </w:tabs>
        <w:ind w:start="161.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60C870BE">
      <w:start w:val="1"/>
      <w:numFmt w:val="aiueoFullWidth"/>
      <w:lvlText w:val="(%8)"/>
      <w:lvlJc w:val="start"/>
      <w:pPr>
        <w:tabs>
          <w:tab w:val="start" w:pos="10.75pt"/>
          <w:tab w:val="start" w:pos="28.80pt"/>
          <w:tab w:val="num" w:pos="176pt"/>
        </w:tabs>
        <w:ind w:start="183.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ADDA1CC4">
      <w:start w:val="1"/>
      <w:numFmt w:val="decimalEnclosedCircle"/>
      <w:lvlText w:val="%9"/>
      <w:lvlJc w:val="start"/>
      <w:pPr>
        <w:tabs>
          <w:tab w:val="start" w:pos="10.75pt"/>
          <w:tab w:val="start" w:pos="28.80pt"/>
          <w:tab w:val="num" w:pos="198pt"/>
        </w:tabs>
        <w:ind w:start="205.20pt" w:hanging="29.20pt"/>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29" w15:restartNumberingAfterBreak="0">
    <w:nsid w:val="6C402C58"/>
    <w:multiLevelType w:val="hybridMultilevel"/>
    <w:tmpl w:val="31ECB920"/>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DB25E4F"/>
    <w:multiLevelType w:val="hybridMultilevel"/>
    <w:tmpl w:val="9398A13C"/>
    <w:lvl w:ilvl="0" w:tplc="774C120A">
      <w:start w:val="1"/>
      <w:numFmt w:val="upperRoman"/>
      <w:lvlText w:val="I%1."/>
      <w:lvlJc w:val="start"/>
      <w:pPr>
        <w:ind w:start="22pt" w:hanging="22pt"/>
      </w:pPr>
      <w:rPr>
        <w:rFonts w:hint="eastAsia"/>
      </w:rPr>
    </w:lvl>
    <w:lvl w:ilvl="1" w:tplc="04090017" w:tentative="1">
      <w:start w:val="1"/>
      <w:numFmt w:val="aiueoFullWidth"/>
      <w:lvlText w:val="(%2)"/>
      <w:lvlJc w:val="start"/>
      <w:pPr>
        <w:ind w:start="44pt" w:hanging="22pt"/>
      </w:pPr>
    </w:lvl>
    <w:lvl w:ilvl="2" w:tplc="04090011" w:tentative="1">
      <w:start w:val="1"/>
      <w:numFmt w:val="decimalEnclosedCircle"/>
      <w:lvlText w:val="%3"/>
      <w:lvlJc w:val="start"/>
      <w:pPr>
        <w:ind w:start="66pt" w:hanging="22pt"/>
      </w:pPr>
    </w:lvl>
    <w:lvl w:ilvl="3" w:tplc="0409000F" w:tentative="1">
      <w:start w:val="1"/>
      <w:numFmt w:val="decimal"/>
      <w:lvlText w:val="%4."/>
      <w:lvlJc w:val="start"/>
      <w:pPr>
        <w:ind w:start="88pt" w:hanging="22pt"/>
      </w:pPr>
    </w:lvl>
    <w:lvl w:ilvl="4" w:tplc="04090017" w:tentative="1">
      <w:start w:val="1"/>
      <w:numFmt w:val="aiueoFullWidth"/>
      <w:lvlText w:val="(%5)"/>
      <w:lvlJc w:val="start"/>
      <w:pPr>
        <w:ind w:start="110pt" w:hanging="22pt"/>
      </w:pPr>
    </w:lvl>
    <w:lvl w:ilvl="5" w:tplc="04090011" w:tentative="1">
      <w:start w:val="1"/>
      <w:numFmt w:val="decimalEnclosedCircle"/>
      <w:lvlText w:val="%6"/>
      <w:lvlJc w:val="start"/>
      <w:pPr>
        <w:ind w:start="132pt" w:hanging="22pt"/>
      </w:pPr>
    </w:lvl>
    <w:lvl w:ilvl="6" w:tplc="0409000F" w:tentative="1">
      <w:start w:val="1"/>
      <w:numFmt w:val="decimal"/>
      <w:lvlText w:val="%7."/>
      <w:lvlJc w:val="start"/>
      <w:pPr>
        <w:ind w:start="154pt" w:hanging="22pt"/>
      </w:pPr>
    </w:lvl>
    <w:lvl w:ilvl="7" w:tplc="04090017" w:tentative="1">
      <w:start w:val="1"/>
      <w:numFmt w:val="aiueoFullWidth"/>
      <w:lvlText w:val="(%8)"/>
      <w:lvlJc w:val="start"/>
      <w:pPr>
        <w:ind w:start="176pt" w:hanging="22pt"/>
      </w:pPr>
    </w:lvl>
    <w:lvl w:ilvl="8" w:tplc="04090011" w:tentative="1">
      <w:start w:val="1"/>
      <w:numFmt w:val="decimalEnclosedCircle"/>
      <w:lvlText w:val="%9"/>
      <w:lvlJc w:val="start"/>
      <w:pPr>
        <w:ind w:start="198pt" w:hanging="22pt"/>
      </w:pPr>
    </w:lvl>
  </w:abstractNum>
  <w:num w:numId="1" w16cid:durableId="2025008399">
    <w:abstractNumId w:val="19"/>
  </w:num>
  <w:num w:numId="2" w16cid:durableId="1412309985">
    <w:abstractNumId w:val="29"/>
  </w:num>
  <w:num w:numId="3" w16cid:durableId="89549151">
    <w:abstractNumId w:val="18"/>
  </w:num>
  <w:num w:numId="4" w16cid:durableId="1721595086">
    <w:abstractNumId w:val="22"/>
  </w:num>
  <w:num w:numId="5" w16cid:durableId="926308499">
    <w:abstractNumId w:val="22"/>
  </w:num>
  <w:num w:numId="6" w16cid:durableId="615138655">
    <w:abstractNumId w:val="22"/>
  </w:num>
  <w:num w:numId="7" w16cid:durableId="1280458091">
    <w:abstractNumId w:val="22"/>
  </w:num>
  <w:num w:numId="8" w16cid:durableId="243998616">
    <w:abstractNumId w:val="26"/>
  </w:num>
  <w:num w:numId="9" w16cid:durableId="411512200">
    <w:abstractNumId w:val="30"/>
  </w:num>
  <w:num w:numId="10" w16cid:durableId="1253009376">
    <w:abstractNumId w:val="20"/>
  </w:num>
  <w:num w:numId="11" w16cid:durableId="520047758">
    <w:abstractNumId w:val="15"/>
  </w:num>
  <w:num w:numId="12" w16cid:durableId="359357433">
    <w:abstractNumId w:val="14"/>
  </w:num>
  <w:num w:numId="13" w16cid:durableId="159279261">
    <w:abstractNumId w:val="0"/>
  </w:num>
  <w:num w:numId="14" w16cid:durableId="1983269359">
    <w:abstractNumId w:val="10"/>
  </w:num>
  <w:num w:numId="15" w16cid:durableId="1516384499">
    <w:abstractNumId w:val="8"/>
  </w:num>
  <w:num w:numId="16" w16cid:durableId="246614760">
    <w:abstractNumId w:val="7"/>
  </w:num>
  <w:num w:numId="17" w16cid:durableId="358362645">
    <w:abstractNumId w:val="6"/>
  </w:num>
  <w:num w:numId="18" w16cid:durableId="1110126625">
    <w:abstractNumId w:val="5"/>
  </w:num>
  <w:num w:numId="19" w16cid:durableId="989022062">
    <w:abstractNumId w:val="9"/>
  </w:num>
  <w:num w:numId="20" w16cid:durableId="722097153">
    <w:abstractNumId w:val="4"/>
  </w:num>
  <w:num w:numId="21" w16cid:durableId="1631932565">
    <w:abstractNumId w:val="3"/>
  </w:num>
  <w:num w:numId="22" w16cid:durableId="738138938">
    <w:abstractNumId w:val="2"/>
  </w:num>
  <w:num w:numId="23" w16cid:durableId="800421223">
    <w:abstractNumId w:val="1"/>
  </w:num>
  <w:num w:numId="24" w16cid:durableId="670915683">
    <w:abstractNumId w:val="23"/>
  </w:num>
  <w:num w:numId="25" w16cid:durableId="17092614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5669885">
    <w:abstractNumId w:val="28"/>
  </w:num>
  <w:num w:numId="27" w16cid:durableId="1222594643">
    <w:abstractNumId w:val="11"/>
  </w:num>
  <w:num w:numId="28" w16cid:durableId="763303459">
    <w:abstractNumId w:val="25"/>
  </w:num>
  <w:num w:numId="29" w16cid:durableId="18721865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9831076">
    <w:abstractNumId w:val="12"/>
  </w:num>
  <w:num w:numId="31" w16cid:durableId="1447843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72620052">
    <w:abstractNumId w:val="21"/>
  </w:num>
  <w:num w:numId="33" w16cid:durableId="1955862144">
    <w:abstractNumId w:val="16"/>
  </w:num>
  <w:num w:numId="34" w16cid:durableId="451244264">
    <w:abstractNumId w:val="27"/>
  </w:num>
  <w:num w:numId="35" w16cid:durableId="570234391">
    <w:abstractNumId w:val="13"/>
  </w:num>
  <w:num w:numId="36" w16cid:durableId="1775636846">
    <w:abstractNumId w:val="17"/>
  </w:num>
  <w:num w:numId="37" w16cid:durableId="1459752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6FD9"/>
    <w:rsid w:val="001A2EFD"/>
    <w:rsid w:val="001A3B3D"/>
    <w:rsid w:val="001B67DC"/>
    <w:rsid w:val="001E18F5"/>
    <w:rsid w:val="002254A9"/>
    <w:rsid w:val="00233D97"/>
    <w:rsid w:val="002347A2"/>
    <w:rsid w:val="002850E3"/>
    <w:rsid w:val="00354FCF"/>
    <w:rsid w:val="003A19E2"/>
    <w:rsid w:val="003A51CD"/>
    <w:rsid w:val="003B2B40"/>
    <w:rsid w:val="003B4E04"/>
    <w:rsid w:val="003F5A08"/>
    <w:rsid w:val="00420716"/>
    <w:rsid w:val="004325FB"/>
    <w:rsid w:val="004432BA"/>
    <w:rsid w:val="0044407E"/>
    <w:rsid w:val="00447BB9"/>
    <w:rsid w:val="0046031D"/>
    <w:rsid w:val="00473AC9"/>
    <w:rsid w:val="004D72B5"/>
    <w:rsid w:val="00526D1E"/>
    <w:rsid w:val="00547AED"/>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7EA3"/>
    <w:rsid w:val="00794804"/>
    <w:rsid w:val="007B33F1"/>
    <w:rsid w:val="007B6DDA"/>
    <w:rsid w:val="007C0308"/>
    <w:rsid w:val="007C2FF2"/>
    <w:rsid w:val="007D6232"/>
    <w:rsid w:val="007F1F99"/>
    <w:rsid w:val="007F768F"/>
    <w:rsid w:val="0080791D"/>
    <w:rsid w:val="0083230A"/>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5846"/>
    <w:rsid w:val="00B44A76"/>
    <w:rsid w:val="00B768D1"/>
    <w:rsid w:val="00BA1025"/>
    <w:rsid w:val="00BA2D2F"/>
    <w:rsid w:val="00BC3420"/>
    <w:rsid w:val="00BD670B"/>
    <w:rsid w:val="00BE7D3C"/>
    <w:rsid w:val="00BF5FF6"/>
    <w:rsid w:val="00C0207F"/>
    <w:rsid w:val="00C16117"/>
    <w:rsid w:val="00C3075A"/>
    <w:rsid w:val="00C919A4"/>
    <w:rsid w:val="00CA4392"/>
    <w:rsid w:val="00CC393F"/>
    <w:rsid w:val="00CF2220"/>
    <w:rsid w:val="00D2176E"/>
    <w:rsid w:val="00D632BE"/>
    <w:rsid w:val="00D72D06"/>
    <w:rsid w:val="00D7522C"/>
    <w:rsid w:val="00D7536F"/>
    <w:rsid w:val="00D76668"/>
    <w:rsid w:val="00DC1DE7"/>
    <w:rsid w:val="00E07383"/>
    <w:rsid w:val="00E165BC"/>
    <w:rsid w:val="00E61E12"/>
    <w:rsid w:val="00E7596C"/>
    <w:rsid w:val="00E878F2"/>
    <w:rsid w:val="00E9462C"/>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34A4E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jc w:val="center"/>
    </w:pPr>
  </w:style>
  <w:style w:type="paragraph" w:styleId="1">
    <w:name w:val="heading 1"/>
    <w:basedOn w:val="a0"/>
    <w:next w:val="a0"/>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0"/>
    <w:next w:val="a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0"/>
    <w:next w:val="a0"/>
    <w:qFormat/>
    <w:rsid w:val="00794804"/>
    <w:pPr>
      <w:numPr>
        <w:ilvl w:val="2"/>
        <w:numId w:val="4"/>
      </w:numPr>
      <w:spacing w:line="12pt" w:lineRule="exact"/>
      <w:ind w:firstLine="14.40pt"/>
      <w:jc w:val="both"/>
      <w:outlineLvl w:val="2"/>
    </w:pPr>
    <w:rPr>
      <w:i/>
      <w:iCs/>
      <w:noProof/>
    </w:rPr>
  </w:style>
  <w:style w:type="paragraph" w:styleId="4">
    <w:name w:val="heading 4"/>
    <w:basedOn w:val="a0"/>
    <w:next w:val="a0"/>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0"/>
    <w:next w:val="a0"/>
    <w:qFormat/>
    <w:pPr>
      <w:tabs>
        <w:tab w:val="start" w:pos="18pt"/>
      </w:tabs>
      <w:spacing w:before="8pt" w:after="4pt"/>
      <w:outlineLvl w:val="4"/>
    </w:pPr>
    <w:rPr>
      <w:smallCaps/>
      <w:noProof/>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4">
    <w:name w:val="Body Text"/>
    <w:basedOn w:val="a0"/>
    <w:link w:val="a5"/>
    <w:rsid w:val="00E7596C"/>
    <w:pPr>
      <w:tabs>
        <w:tab w:val="start" w:pos="14.40pt"/>
      </w:tabs>
      <w:spacing w:after="6pt" w:line="11.40pt" w:lineRule="auto"/>
      <w:ind w:firstLine="14.40pt"/>
      <w:jc w:val="both"/>
    </w:pPr>
    <w:rPr>
      <w:spacing w:val="-1"/>
      <w:lang w:val="x-none" w:eastAsia="x-none"/>
    </w:rPr>
  </w:style>
  <w:style w:type="character" w:customStyle="1" w:styleId="a5">
    <w:name w:val="本文 (文字)"/>
    <w:link w:val="a4"/>
    <w:rsid w:val="00E7596C"/>
    <w:rPr>
      <w:spacing w:val="-1"/>
      <w:lang w:val="x-none" w:eastAsia="x-none"/>
    </w:rPr>
  </w:style>
  <w:style w:type="paragraph" w:customStyle="1" w:styleId="bulletlist">
    <w:name w:val="bullet list"/>
    <w:basedOn w:val="a4"/>
    <w:rsid w:val="001B67DC"/>
    <w:pPr>
      <w:numPr>
        <w:numId w:val="1"/>
      </w:numPr>
      <w:tabs>
        <w:tab w:val="clear" w:pos="32.40pt"/>
      </w:tabs>
      <w:ind w:start="28.80pt" w:hanging="14.40pt"/>
    </w:pPr>
  </w:style>
  <w:style w:type="paragraph" w:customStyle="1" w:styleId="equation">
    <w:name w:val="equation"/>
    <w:basedOn w:val="a0"/>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0"/>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6">
    <w:name w:val="header"/>
    <w:basedOn w:val="a0"/>
    <w:link w:val="a7"/>
    <w:rsid w:val="001A3B3D"/>
    <w:pPr>
      <w:tabs>
        <w:tab w:val="center" w:pos="234pt"/>
        <w:tab w:val="end" w:pos="468pt"/>
      </w:tabs>
    </w:pPr>
  </w:style>
  <w:style w:type="character" w:customStyle="1" w:styleId="a7">
    <w:name w:val="ヘッダー (文字)"/>
    <w:basedOn w:val="a1"/>
    <w:link w:val="a6"/>
    <w:rsid w:val="001A3B3D"/>
  </w:style>
  <w:style w:type="paragraph" w:styleId="a8">
    <w:name w:val="footer"/>
    <w:basedOn w:val="a0"/>
    <w:link w:val="a9"/>
    <w:rsid w:val="001A3B3D"/>
    <w:pPr>
      <w:tabs>
        <w:tab w:val="center" w:pos="234pt"/>
        <w:tab w:val="end" w:pos="468pt"/>
      </w:tabs>
    </w:pPr>
  </w:style>
  <w:style w:type="character" w:customStyle="1" w:styleId="a9">
    <w:name w:val="フッター (文字)"/>
    <w:basedOn w:val="a1"/>
    <w:link w:val="a8"/>
    <w:rsid w:val="001A3B3D"/>
  </w:style>
  <w:style w:type="character" w:styleId="aa">
    <w:name w:val="Hyperlink"/>
    <w:basedOn w:val="a1"/>
    <w:uiPriority w:val="99"/>
    <w:unhideWhenUsed/>
    <w:rsid w:val="00E9462C"/>
    <w:rPr>
      <w:color w:val="0563C1" w:themeColor="hyperlink"/>
      <w:u w:val="single"/>
    </w:rPr>
  </w:style>
  <w:style w:type="character" w:customStyle="1" w:styleId="Hyperlink0">
    <w:name w:val="Hyperlink.0"/>
    <w:basedOn w:val="a1"/>
    <w:rsid w:val="00E9462C"/>
    <w:rPr>
      <w:strike w:val="0"/>
      <w:dstrike w:val="0"/>
      <w:outline w:val="0"/>
      <w:shadow w:val="0"/>
      <w:emboss w:val="0"/>
      <w:imprint w:val="0"/>
      <w:color w:val="000000"/>
      <w:u w:val="none" w:color="000000"/>
      <w:effect w:val="none"/>
    </w:rPr>
  </w:style>
  <w:style w:type="character" w:styleId="ab">
    <w:name w:val="Unresolved Mention"/>
    <w:basedOn w:val="a1"/>
    <w:uiPriority w:val="99"/>
    <w:semiHidden/>
    <w:unhideWhenUsed/>
    <w:rsid w:val="00E9462C"/>
    <w:rPr>
      <w:color w:val="605E5C"/>
      <w:shd w:val="clear" w:color="auto" w:fill="E1DFDD"/>
    </w:rPr>
  </w:style>
  <w:style w:type="character" w:customStyle="1" w:styleId="ac">
    <w:name w:val="なし"/>
    <w:rsid w:val="00E9462C"/>
  </w:style>
  <w:style w:type="numbering" w:customStyle="1" w:styleId="a">
    <w:name w:val="数字"/>
    <w:rsid w:val="00116FD9"/>
    <w:pPr>
      <w:numPr>
        <w:numId w:val="26"/>
      </w:numPr>
    </w:pPr>
  </w:style>
  <w:style w:type="paragraph" w:styleId="ad">
    <w:name w:val="List Paragraph"/>
    <w:basedOn w:val="a0"/>
    <w:uiPriority w:val="34"/>
    <w:qFormat/>
    <w:rsid w:val="00116FD9"/>
    <w:pPr>
      <w:ind w:startChars="400" w:start="42pt"/>
    </w:pPr>
  </w:style>
  <w:style w:type="numbering" w:customStyle="1" w:styleId="10">
    <w:name w:val="読み込んだスタイル1.0"/>
    <w:rsid w:val="00BA2D2F"/>
    <w:pPr>
      <w:numPr>
        <w:numId w:val="3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2028">
      <w:bodyDiv w:val="1"/>
      <w:marLeft w:val="0pt"/>
      <w:marRight w:val="0pt"/>
      <w:marTop w:val="0pt"/>
      <w:marBottom w:val="0pt"/>
      <w:divBdr>
        <w:top w:val="none" w:sz="0" w:space="0" w:color="auto"/>
        <w:left w:val="none" w:sz="0" w:space="0" w:color="auto"/>
        <w:bottom w:val="none" w:sz="0" w:space="0" w:color="auto"/>
        <w:right w:val="none" w:sz="0" w:space="0" w:color="auto"/>
      </w:divBdr>
    </w:div>
    <w:div w:id="147402282">
      <w:bodyDiv w:val="1"/>
      <w:marLeft w:val="0pt"/>
      <w:marRight w:val="0pt"/>
      <w:marTop w:val="0pt"/>
      <w:marBottom w:val="0pt"/>
      <w:divBdr>
        <w:top w:val="none" w:sz="0" w:space="0" w:color="auto"/>
        <w:left w:val="none" w:sz="0" w:space="0" w:color="auto"/>
        <w:bottom w:val="none" w:sz="0" w:space="0" w:color="auto"/>
        <w:right w:val="none" w:sz="0" w:space="0" w:color="auto"/>
      </w:divBdr>
    </w:div>
    <w:div w:id="157618676">
      <w:bodyDiv w:val="1"/>
      <w:marLeft w:val="0pt"/>
      <w:marRight w:val="0pt"/>
      <w:marTop w:val="0pt"/>
      <w:marBottom w:val="0pt"/>
      <w:divBdr>
        <w:top w:val="none" w:sz="0" w:space="0" w:color="auto"/>
        <w:left w:val="none" w:sz="0" w:space="0" w:color="auto"/>
        <w:bottom w:val="none" w:sz="0" w:space="0" w:color="auto"/>
        <w:right w:val="none" w:sz="0" w:space="0" w:color="auto"/>
      </w:divBdr>
    </w:div>
    <w:div w:id="175729981">
      <w:bodyDiv w:val="1"/>
      <w:marLeft w:val="0pt"/>
      <w:marRight w:val="0pt"/>
      <w:marTop w:val="0pt"/>
      <w:marBottom w:val="0pt"/>
      <w:divBdr>
        <w:top w:val="none" w:sz="0" w:space="0" w:color="auto"/>
        <w:left w:val="none" w:sz="0" w:space="0" w:color="auto"/>
        <w:bottom w:val="none" w:sz="0" w:space="0" w:color="auto"/>
        <w:right w:val="none" w:sz="0" w:space="0" w:color="auto"/>
      </w:divBdr>
    </w:div>
    <w:div w:id="242761963">
      <w:bodyDiv w:val="1"/>
      <w:marLeft w:val="0pt"/>
      <w:marRight w:val="0pt"/>
      <w:marTop w:val="0pt"/>
      <w:marBottom w:val="0pt"/>
      <w:divBdr>
        <w:top w:val="none" w:sz="0" w:space="0" w:color="auto"/>
        <w:left w:val="none" w:sz="0" w:space="0" w:color="auto"/>
        <w:bottom w:val="none" w:sz="0" w:space="0" w:color="auto"/>
        <w:right w:val="none" w:sz="0" w:space="0" w:color="auto"/>
      </w:divBdr>
    </w:div>
    <w:div w:id="287707275">
      <w:bodyDiv w:val="1"/>
      <w:marLeft w:val="0pt"/>
      <w:marRight w:val="0pt"/>
      <w:marTop w:val="0pt"/>
      <w:marBottom w:val="0pt"/>
      <w:divBdr>
        <w:top w:val="none" w:sz="0" w:space="0" w:color="auto"/>
        <w:left w:val="none" w:sz="0" w:space="0" w:color="auto"/>
        <w:bottom w:val="none" w:sz="0" w:space="0" w:color="auto"/>
        <w:right w:val="none" w:sz="0" w:space="0" w:color="auto"/>
      </w:divBdr>
    </w:div>
    <w:div w:id="328095250">
      <w:bodyDiv w:val="1"/>
      <w:marLeft w:val="0pt"/>
      <w:marRight w:val="0pt"/>
      <w:marTop w:val="0pt"/>
      <w:marBottom w:val="0pt"/>
      <w:divBdr>
        <w:top w:val="none" w:sz="0" w:space="0" w:color="auto"/>
        <w:left w:val="none" w:sz="0" w:space="0" w:color="auto"/>
        <w:bottom w:val="none" w:sz="0" w:space="0" w:color="auto"/>
        <w:right w:val="none" w:sz="0" w:space="0" w:color="auto"/>
      </w:divBdr>
    </w:div>
    <w:div w:id="373240003">
      <w:bodyDiv w:val="1"/>
      <w:marLeft w:val="0pt"/>
      <w:marRight w:val="0pt"/>
      <w:marTop w:val="0pt"/>
      <w:marBottom w:val="0pt"/>
      <w:divBdr>
        <w:top w:val="none" w:sz="0" w:space="0" w:color="auto"/>
        <w:left w:val="none" w:sz="0" w:space="0" w:color="auto"/>
        <w:bottom w:val="none" w:sz="0" w:space="0" w:color="auto"/>
        <w:right w:val="none" w:sz="0" w:space="0" w:color="auto"/>
      </w:divBdr>
    </w:div>
    <w:div w:id="395931977">
      <w:bodyDiv w:val="1"/>
      <w:marLeft w:val="0pt"/>
      <w:marRight w:val="0pt"/>
      <w:marTop w:val="0pt"/>
      <w:marBottom w:val="0pt"/>
      <w:divBdr>
        <w:top w:val="none" w:sz="0" w:space="0" w:color="auto"/>
        <w:left w:val="none" w:sz="0" w:space="0" w:color="auto"/>
        <w:bottom w:val="none" w:sz="0" w:space="0" w:color="auto"/>
        <w:right w:val="none" w:sz="0" w:space="0" w:color="auto"/>
      </w:divBdr>
    </w:div>
    <w:div w:id="437680317">
      <w:bodyDiv w:val="1"/>
      <w:marLeft w:val="0pt"/>
      <w:marRight w:val="0pt"/>
      <w:marTop w:val="0pt"/>
      <w:marBottom w:val="0pt"/>
      <w:divBdr>
        <w:top w:val="none" w:sz="0" w:space="0" w:color="auto"/>
        <w:left w:val="none" w:sz="0" w:space="0" w:color="auto"/>
        <w:bottom w:val="none" w:sz="0" w:space="0" w:color="auto"/>
        <w:right w:val="none" w:sz="0" w:space="0" w:color="auto"/>
      </w:divBdr>
    </w:div>
    <w:div w:id="458188422">
      <w:bodyDiv w:val="1"/>
      <w:marLeft w:val="0pt"/>
      <w:marRight w:val="0pt"/>
      <w:marTop w:val="0pt"/>
      <w:marBottom w:val="0pt"/>
      <w:divBdr>
        <w:top w:val="none" w:sz="0" w:space="0" w:color="auto"/>
        <w:left w:val="none" w:sz="0" w:space="0" w:color="auto"/>
        <w:bottom w:val="none" w:sz="0" w:space="0" w:color="auto"/>
        <w:right w:val="none" w:sz="0" w:space="0" w:color="auto"/>
      </w:divBdr>
    </w:div>
    <w:div w:id="580411119">
      <w:bodyDiv w:val="1"/>
      <w:marLeft w:val="0pt"/>
      <w:marRight w:val="0pt"/>
      <w:marTop w:val="0pt"/>
      <w:marBottom w:val="0pt"/>
      <w:divBdr>
        <w:top w:val="none" w:sz="0" w:space="0" w:color="auto"/>
        <w:left w:val="none" w:sz="0" w:space="0" w:color="auto"/>
        <w:bottom w:val="none" w:sz="0" w:space="0" w:color="auto"/>
        <w:right w:val="none" w:sz="0" w:space="0" w:color="auto"/>
      </w:divBdr>
    </w:div>
    <w:div w:id="657197012">
      <w:bodyDiv w:val="1"/>
      <w:marLeft w:val="0pt"/>
      <w:marRight w:val="0pt"/>
      <w:marTop w:val="0pt"/>
      <w:marBottom w:val="0pt"/>
      <w:divBdr>
        <w:top w:val="none" w:sz="0" w:space="0" w:color="auto"/>
        <w:left w:val="none" w:sz="0" w:space="0" w:color="auto"/>
        <w:bottom w:val="none" w:sz="0" w:space="0" w:color="auto"/>
        <w:right w:val="none" w:sz="0" w:space="0" w:color="auto"/>
      </w:divBdr>
    </w:div>
    <w:div w:id="717358134">
      <w:bodyDiv w:val="1"/>
      <w:marLeft w:val="0pt"/>
      <w:marRight w:val="0pt"/>
      <w:marTop w:val="0pt"/>
      <w:marBottom w:val="0pt"/>
      <w:divBdr>
        <w:top w:val="none" w:sz="0" w:space="0" w:color="auto"/>
        <w:left w:val="none" w:sz="0" w:space="0" w:color="auto"/>
        <w:bottom w:val="none" w:sz="0" w:space="0" w:color="auto"/>
        <w:right w:val="none" w:sz="0" w:space="0" w:color="auto"/>
      </w:divBdr>
    </w:div>
    <w:div w:id="800882294">
      <w:bodyDiv w:val="1"/>
      <w:marLeft w:val="0pt"/>
      <w:marRight w:val="0pt"/>
      <w:marTop w:val="0pt"/>
      <w:marBottom w:val="0pt"/>
      <w:divBdr>
        <w:top w:val="none" w:sz="0" w:space="0" w:color="auto"/>
        <w:left w:val="none" w:sz="0" w:space="0" w:color="auto"/>
        <w:bottom w:val="none" w:sz="0" w:space="0" w:color="auto"/>
        <w:right w:val="none" w:sz="0" w:space="0" w:color="auto"/>
      </w:divBdr>
    </w:div>
    <w:div w:id="870920953">
      <w:bodyDiv w:val="1"/>
      <w:marLeft w:val="0pt"/>
      <w:marRight w:val="0pt"/>
      <w:marTop w:val="0pt"/>
      <w:marBottom w:val="0pt"/>
      <w:divBdr>
        <w:top w:val="none" w:sz="0" w:space="0" w:color="auto"/>
        <w:left w:val="none" w:sz="0" w:space="0" w:color="auto"/>
        <w:bottom w:val="none" w:sz="0" w:space="0" w:color="auto"/>
        <w:right w:val="none" w:sz="0" w:space="0" w:color="auto"/>
      </w:divBdr>
    </w:div>
    <w:div w:id="907036560">
      <w:bodyDiv w:val="1"/>
      <w:marLeft w:val="0pt"/>
      <w:marRight w:val="0pt"/>
      <w:marTop w:val="0pt"/>
      <w:marBottom w:val="0pt"/>
      <w:divBdr>
        <w:top w:val="none" w:sz="0" w:space="0" w:color="auto"/>
        <w:left w:val="none" w:sz="0" w:space="0" w:color="auto"/>
        <w:bottom w:val="none" w:sz="0" w:space="0" w:color="auto"/>
        <w:right w:val="none" w:sz="0" w:space="0" w:color="auto"/>
      </w:divBdr>
    </w:div>
    <w:div w:id="988706318">
      <w:bodyDiv w:val="1"/>
      <w:marLeft w:val="0pt"/>
      <w:marRight w:val="0pt"/>
      <w:marTop w:val="0pt"/>
      <w:marBottom w:val="0pt"/>
      <w:divBdr>
        <w:top w:val="none" w:sz="0" w:space="0" w:color="auto"/>
        <w:left w:val="none" w:sz="0" w:space="0" w:color="auto"/>
        <w:bottom w:val="none" w:sz="0" w:space="0" w:color="auto"/>
        <w:right w:val="none" w:sz="0" w:space="0" w:color="auto"/>
      </w:divBdr>
    </w:div>
    <w:div w:id="1087338821">
      <w:bodyDiv w:val="1"/>
      <w:marLeft w:val="0pt"/>
      <w:marRight w:val="0pt"/>
      <w:marTop w:val="0pt"/>
      <w:marBottom w:val="0pt"/>
      <w:divBdr>
        <w:top w:val="none" w:sz="0" w:space="0" w:color="auto"/>
        <w:left w:val="none" w:sz="0" w:space="0" w:color="auto"/>
        <w:bottom w:val="none" w:sz="0" w:space="0" w:color="auto"/>
        <w:right w:val="none" w:sz="0" w:space="0" w:color="auto"/>
      </w:divBdr>
    </w:div>
    <w:div w:id="1209957130">
      <w:bodyDiv w:val="1"/>
      <w:marLeft w:val="0pt"/>
      <w:marRight w:val="0pt"/>
      <w:marTop w:val="0pt"/>
      <w:marBottom w:val="0pt"/>
      <w:divBdr>
        <w:top w:val="none" w:sz="0" w:space="0" w:color="auto"/>
        <w:left w:val="none" w:sz="0" w:space="0" w:color="auto"/>
        <w:bottom w:val="none" w:sz="0" w:space="0" w:color="auto"/>
        <w:right w:val="none" w:sz="0" w:space="0" w:color="auto"/>
      </w:divBdr>
    </w:div>
    <w:div w:id="1255431164">
      <w:bodyDiv w:val="1"/>
      <w:marLeft w:val="0pt"/>
      <w:marRight w:val="0pt"/>
      <w:marTop w:val="0pt"/>
      <w:marBottom w:val="0pt"/>
      <w:divBdr>
        <w:top w:val="none" w:sz="0" w:space="0" w:color="auto"/>
        <w:left w:val="none" w:sz="0" w:space="0" w:color="auto"/>
        <w:bottom w:val="none" w:sz="0" w:space="0" w:color="auto"/>
        <w:right w:val="none" w:sz="0" w:space="0" w:color="auto"/>
      </w:divBdr>
    </w:div>
    <w:div w:id="1255748821">
      <w:bodyDiv w:val="1"/>
      <w:marLeft w:val="0pt"/>
      <w:marRight w:val="0pt"/>
      <w:marTop w:val="0pt"/>
      <w:marBottom w:val="0pt"/>
      <w:divBdr>
        <w:top w:val="none" w:sz="0" w:space="0" w:color="auto"/>
        <w:left w:val="none" w:sz="0" w:space="0" w:color="auto"/>
        <w:bottom w:val="none" w:sz="0" w:space="0" w:color="auto"/>
        <w:right w:val="none" w:sz="0" w:space="0" w:color="auto"/>
      </w:divBdr>
    </w:div>
    <w:div w:id="1424767066">
      <w:bodyDiv w:val="1"/>
      <w:marLeft w:val="0pt"/>
      <w:marRight w:val="0pt"/>
      <w:marTop w:val="0pt"/>
      <w:marBottom w:val="0pt"/>
      <w:divBdr>
        <w:top w:val="none" w:sz="0" w:space="0" w:color="auto"/>
        <w:left w:val="none" w:sz="0" w:space="0" w:color="auto"/>
        <w:bottom w:val="none" w:sz="0" w:space="0" w:color="auto"/>
        <w:right w:val="none" w:sz="0" w:space="0" w:color="auto"/>
      </w:divBdr>
    </w:div>
    <w:div w:id="1462529055">
      <w:bodyDiv w:val="1"/>
      <w:marLeft w:val="0pt"/>
      <w:marRight w:val="0pt"/>
      <w:marTop w:val="0pt"/>
      <w:marBottom w:val="0pt"/>
      <w:divBdr>
        <w:top w:val="none" w:sz="0" w:space="0" w:color="auto"/>
        <w:left w:val="none" w:sz="0" w:space="0" w:color="auto"/>
        <w:bottom w:val="none" w:sz="0" w:space="0" w:color="auto"/>
        <w:right w:val="none" w:sz="0" w:space="0" w:color="auto"/>
      </w:divBdr>
    </w:div>
    <w:div w:id="1653830484">
      <w:bodyDiv w:val="1"/>
      <w:marLeft w:val="0pt"/>
      <w:marRight w:val="0pt"/>
      <w:marTop w:val="0pt"/>
      <w:marBottom w:val="0pt"/>
      <w:divBdr>
        <w:top w:val="none" w:sz="0" w:space="0" w:color="auto"/>
        <w:left w:val="none" w:sz="0" w:space="0" w:color="auto"/>
        <w:bottom w:val="none" w:sz="0" w:space="0" w:color="auto"/>
        <w:right w:val="none" w:sz="0" w:space="0" w:color="auto"/>
      </w:divBdr>
    </w:div>
    <w:div w:id="1694920992">
      <w:bodyDiv w:val="1"/>
      <w:marLeft w:val="0pt"/>
      <w:marRight w:val="0pt"/>
      <w:marTop w:val="0pt"/>
      <w:marBottom w:val="0pt"/>
      <w:divBdr>
        <w:top w:val="none" w:sz="0" w:space="0" w:color="auto"/>
        <w:left w:val="none" w:sz="0" w:space="0" w:color="auto"/>
        <w:bottom w:val="none" w:sz="0" w:space="0" w:color="auto"/>
        <w:right w:val="none" w:sz="0" w:space="0" w:color="auto"/>
      </w:divBdr>
    </w:div>
    <w:div w:id="1747262709">
      <w:bodyDiv w:val="1"/>
      <w:marLeft w:val="0pt"/>
      <w:marRight w:val="0pt"/>
      <w:marTop w:val="0pt"/>
      <w:marBottom w:val="0pt"/>
      <w:divBdr>
        <w:top w:val="none" w:sz="0" w:space="0" w:color="auto"/>
        <w:left w:val="none" w:sz="0" w:space="0" w:color="auto"/>
        <w:bottom w:val="none" w:sz="0" w:space="0" w:color="auto"/>
        <w:right w:val="none" w:sz="0" w:space="0" w:color="auto"/>
      </w:divBdr>
    </w:div>
    <w:div w:id="1816947587">
      <w:bodyDiv w:val="1"/>
      <w:marLeft w:val="0pt"/>
      <w:marRight w:val="0pt"/>
      <w:marTop w:val="0pt"/>
      <w:marBottom w:val="0pt"/>
      <w:divBdr>
        <w:top w:val="none" w:sz="0" w:space="0" w:color="auto"/>
        <w:left w:val="none" w:sz="0" w:space="0" w:color="auto"/>
        <w:bottom w:val="none" w:sz="0" w:space="0" w:color="auto"/>
        <w:right w:val="none" w:sz="0" w:space="0" w:color="auto"/>
      </w:divBdr>
    </w:div>
    <w:div w:id="1830752350">
      <w:bodyDiv w:val="1"/>
      <w:marLeft w:val="0pt"/>
      <w:marRight w:val="0pt"/>
      <w:marTop w:val="0pt"/>
      <w:marBottom w:val="0pt"/>
      <w:divBdr>
        <w:top w:val="none" w:sz="0" w:space="0" w:color="auto"/>
        <w:left w:val="none" w:sz="0" w:space="0" w:color="auto"/>
        <w:bottom w:val="none" w:sz="0" w:space="0" w:color="auto"/>
        <w:right w:val="none" w:sz="0" w:space="0" w:color="auto"/>
      </w:divBdr>
    </w:div>
    <w:div w:id="1951350488">
      <w:bodyDiv w:val="1"/>
      <w:marLeft w:val="0pt"/>
      <w:marRight w:val="0pt"/>
      <w:marTop w:val="0pt"/>
      <w:marBottom w:val="0pt"/>
      <w:divBdr>
        <w:top w:val="none" w:sz="0" w:space="0" w:color="auto"/>
        <w:left w:val="none" w:sz="0" w:space="0" w:color="auto"/>
        <w:bottom w:val="none" w:sz="0" w:space="0" w:color="auto"/>
        <w:right w:val="none" w:sz="0" w:space="0" w:color="auto"/>
      </w:divBdr>
    </w:div>
    <w:div w:id="1957365876">
      <w:bodyDiv w:val="1"/>
      <w:marLeft w:val="0pt"/>
      <w:marRight w:val="0pt"/>
      <w:marTop w:val="0pt"/>
      <w:marBottom w:val="0pt"/>
      <w:divBdr>
        <w:top w:val="none" w:sz="0" w:space="0" w:color="auto"/>
        <w:left w:val="none" w:sz="0" w:space="0" w:color="auto"/>
        <w:bottom w:val="none" w:sz="0" w:space="0" w:color="auto"/>
        <w:right w:val="none" w:sz="0" w:space="0" w:color="auto"/>
      </w:divBdr>
    </w:div>
    <w:div w:id="1958484193">
      <w:bodyDiv w:val="1"/>
      <w:marLeft w:val="0pt"/>
      <w:marRight w:val="0pt"/>
      <w:marTop w:val="0pt"/>
      <w:marBottom w:val="0pt"/>
      <w:divBdr>
        <w:top w:val="none" w:sz="0" w:space="0" w:color="auto"/>
        <w:left w:val="none" w:sz="0" w:space="0" w:color="auto"/>
        <w:bottom w:val="none" w:sz="0" w:space="0" w:color="auto"/>
        <w:right w:val="none" w:sz="0" w:space="0" w:color="auto"/>
      </w:divBdr>
    </w:div>
    <w:div w:id="2049331814">
      <w:bodyDiv w:val="1"/>
      <w:marLeft w:val="0pt"/>
      <w:marRight w:val="0pt"/>
      <w:marTop w:val="0pt"/>
      <w:marBottom w:val="0pt"/>
      <w:divBdr>
        <w:top w:val="none" w:sz="0" w:space="0" w:color="auto"/>
        <w:left w:val="none" w:sz="0" w:space="0" w:color="auto"/>
        <w:bottom w:val="none" w:sz="0" w:space="0" w:color="auto"/>
        <w:right w:val="none" w:sz="0" w:space="0" w:color="auto"/>
      </w:divBdr>
    </w:div>
    <w:div w:id="20725771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g023c1133@g.neec.ac.jp" TargetMode="Externa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2</Pages>
  <Words>1265</Words>
  <Characters>7213</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吉田博之</cp:lastModifiedBy>
  <cp:revision>3</cp:revision>
  <dcterms:created xsi:type="dcterms:W3CDTF">2024-06-02T19:15:00Z</dcterms:created>
  <dcterms:modified xsi:type="dcterms:W3CDTF">2024-06-02T19:23:00Z</dcterms:modified>
</cp:coreProperties>
</file>