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10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mbeddings/Microsoft_Visio___7.vsdx" ContentType="application/vnd.ms-visio.drawing"/>
  <Override PartName="/word/embeddings/Microsoft_Visio___8.vsdx" ContentType="application/vnd.ms-visio.drawing"/>
  <Override PartName="/word/embeddings/Microsoft_Visio___9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w:br w:type="page"/>
      </w:r>
      <w:r>
        <w:rPr>
          <w:rStyle w:val="11"/>
        </w:rPr>
        <w:t>总体</w:t>
      </w:r>
      <w:r>
        <w:rPr>
          <w:rStyle w:val="11"/>
          <w:rFonts w:hint="eastAsia"/>
        </w:rPr>
        <w:t>计划</w:t>
      </w:r>
      <w:r>
        <w:object>
          <v:shape id="_x0000_i1025" o:spt="75" type="#_x0000_t75" style="height:435pt;width:415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2"/>
        <w:rPr>
          <w:rStyle w:val="12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6134100</wp:posOffset>
                </wp:positionH>
                <wp:positionV relativeFrom="margin">
                  <wp:align>top</wp:align>
                </wp:positionV>
                <wp:extent cx="1219200" cy="9483090"/>
                <wp:effectExtent l="0" t="0" r="19050" b="22860"/>
                <wp:wrapSquare wrapText="bothSides"/>
                <wp:docPr id="211" name="组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9483090"/>
                          <a:chOff x="0" y="0"/>
                          <a:chExt cx="2475865" cy="9555480"/>
                        </a:xfrm>
                      </wpg:grpSpPr>
                      <wps:wsp>
                        <wps:cNvPr id="212" name="自选图形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>
                              <w:pPr>
                                <w:spacing w:before="880" w:after="240"/>
                                <w:rPr>
                                  <w:rFonts w:asciiTheme="majorHAnsi" w:hAnsiTheme="majorHAnsi" w:eastAsiaTheme="majorEastAsia" w:cstheme="majorBidi"/>
                                  <w:color w:val="4472C4" w:themeColor="accent1"/>
                                  <w:sz w:val="40"/>
                                  <w:szCs w:val="4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color w:val="4472C4" w:themeColor="accent1"/>
                                  <w:sz w:val="40"/>
                                  <w:szCs w:val="4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注释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红色为得到牙周炎分期分级结果必填内容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绿色为分期必须要的信息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白色为分级必填信息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GM即</w:t>
                              </w:r>
                              <w:r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CEJ到龈缘的距离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CAL=PD-GM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he指“</w:t>
                              </w:r>
                              <w:r>
                                <w:rPr>
                                  <w:color w:val="44546A" w:themeColor="text2"/>
                                  <w:w w:val="50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牙合</w:t>
                              </w:r>
                              <w:r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”，输入法打不了，需要把这两个字合并为一个字</w:t>
                              </w:r>
                            </w:p>
                            <w:p>
                              <w:pPr>
                                <w:pStyle w:val="10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546A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5年以上CAL进展情况可无；若无5年以上CAL进展情况，则应填写最严重点位丧失牙根长度（mm）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71919" y="0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240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noAutofit/>
                        </wps:bodyPr>
                      </wps:wsp>
                      <wps:wsp>
                        <wps:cNvPr id="214" name="矩形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240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211" o:spid="_x0000_s1026" o:spt="203" style="position:absolute;left:0pt;margin-left:483pt;height:746.7pt;width:96pt;mso-position-horizontal-relative:page;mso-position-vertical:top;mso-position-vertical-relative:margin;mso-wrap-distance-bottom:0pt;mso-wrap-distance-left:9pt;mso-wrap-distance-right:9pt;mso-wrap-distance-top:0pt;z-index:251659264;mso-width-relative:page;mso-height-relative:page;" coordsize="2475865,9555480" o:gfxdata="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">
                <o:lock v:ext="edit" aspectratio="f"/>
                <v:rect id="自选图形 14" o:spid="_x0000_s1026" o:spt="1" style="position:absolute;left:0;top:0;height:9555480;width:2475865;" fillcolor="#FFFFFF [3212]" filled="t" stroked="t" coordsize="21600,21600" o:gfxdata="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g5hgCvwAAANwAAAAPAAAAAAAAAAEAIAAAADgAAABkcnMvZG93bnJl&#10;di54bWxQSwECFAAUAAAACACHTuJAMy8FnjsAAAA5AAAAEAAAAAAAAAABACAAAAAkAQAAZHJzL3No&#10;YXBleG1sLnhtbFBLBQYAAAAABgAGAFsBAADOAwAAAAA=&#10;">
                  <v:fill on="t" focussize="0,0"/>
                  <v:stroke weight="1.25pt" color="#767171 [1614]" joinstyle="round"/>
                  <v:imagedata o:title=""/>
                  <o:lock v:ext="edit" aspectratio="f"/>
                  <v:textbox inset="5.08mm,12.7mm,5.08mm,2.032mm">
                    <w:txbxContent>
                      <w:p>
                        <w:pPr>
                          <w:spacing w:before="880" w:after="240"/>
                          <w:rPr>
                            <w:rFonts w:asciiTheme="majorHAnsi" w:hAnsiTheme="majorHAnsi" w:eastAsiaTheme="majorEastAsia" w:cstheme="majorBidi"/>
                            <w:color w:val="4472C4" w:themeColor="accent1"/>
                            <w:sz w:val="40"/>
                            <w:szCs w:val="4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ajorHAnsi" w:hAnsiTheme="majorHAnsi" w:eastAsiaTheme="majorEastAsia" w:cstheme="majorBidi"/>
                            <w:color w:val="4472C4" w:themeColor="accent1"/>
                            <w:sz w:val="40"/>
                            <w:szCs w:val="4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注释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红色为得到牙周炎分期分级结果必填内容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绿色为分期必须要的信息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白色为分级必填信息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GM即</w:t>
                        </w:r>
                        <w:r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CEJ到龈缘的距离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CAL=PD-GM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he指“</w:t>
                        </w:r>
                        <w:r>
                          <w:rPr>
                            <w:color w:val="44546A" w:themeColor="text2"/>
                            <w:w w:val="50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牙合</w:t>
                        </w:r>
                        <w:r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”，输入法打不了，需要把这两个字合并为一个字</w:t>
                        </w:r>
                      </w:p>
                      <w:p>
                        <w:pPr>
                          <w:pStyle w:val="10"/>
                          <w:numPr>
                            <w:ilvl w:val="0"/>
                            <w:numId w:val="2"/>
                          </w:numPr>
                          <w:ind w:firstLineChars="0"/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color w:val="44546A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5年以上CAL进展情况可无；若无5年以上CAL进展情况，则应填写最严重点位丧失牙根长度（mm）</w:t>
                        </w:r>
                      </w:p>
                    </w:txbxContent>
                  </v:textbox>
                </v:rect>
                <v:rect id="_x0000_s1026" o:spid="_x0000_s1026" o:spt="1" style="position:absolute;left:71919;top:0;height:704215;width:2331720;v-text-anchor:bottom;" fillcolor="#44546A [3215]" filled="t" stroked="f" coordsize="21600,21600" o:gfxdata="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1I0Cqb0AAADcAAAADwAAAAAAAAABACAAAAA4AAAAZHJzL2Rvd25yZXYu&#10;eG1sUEsBAhQAFAAAAAgAh07iQDMvBZ47AAAAOQAAABAAAAAAAAAAAQAgAAAAIgEAAGRycy9zaGFw&#10;ZXhtbC54bWxQSwUGAAAAAAYABgBbAQAAzAMAAAAA&#10;">
                  <v:fill on="t" focussize="0,0"/>
                  <v:stroke on="f" weight="1pt" miterlimit="8" joinstyle="miter"/>
                  <v:imagedata o:title=""/>
                  <o:lock v:ext="edit" aspectratio="f"/>
                  <v:textbox inset="5.08mm,5.08mm,5.08mm,10.16mm">
                    <w:txbxContent>
                      <w:p>
                        <w:pPr>
                          <w:spacing w:before="240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rect id="_x0000_s1026" o:spid="_x0000_s1026" o:spt="1" style="position:absolute;left:71919;top:9308386;height:118745;width:2331720;v-text-anchor:bottom;" fillcolor="#4472C4 [3204]" filled="t" stroked="f" coordsize="21600,21600" o:gfxdata="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gxjSy7AAAA3A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 inset="5.08mm,5.08mm,5.08mm,10.16mm">
                    <w:txbxContent>
                      <w:p>
                        <w:pPr>
                          <w:spacing w:before="240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hint="eastAsia"/>
        </w:rPr>
        <w:t>信</w:t>
      </w:r>
      <w:r>
        <w:rPr>
          <w:rStyle w:val="12"/>
          <w:rFonts w:hint="eastAsia"/>
        </w:rPr>
        <w:t>息录入</w:t>
      </w:r>
      <w:r>
        <w:drawing>
          <wp:inline distT="0" distB="0" distL="114300" distR="114300">
            <wp:extent cx="5270500" cy="7228205"/>
            <wp:effectExtent l="0" t="0" r="12700" b="10795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分期分级判定</w:t>
      </w:r>
    </w:p>
    <w:p>
      <w:pPr>
        <w:pStyle w:val="3"/>
      </w:pPr>
      <w:r>
        <w:rPr>
          <w:rFonts w:hint="eastAsia"/>
        </w:rPr>
        <w:t>运算</w:t>
      </w:r>
    </w:p>
    <w:p>
      <w:pPr>
        <w:pStyle w:val="4"/>
      </w:pPr>
      <w:r>
        <w:pict>
          <v:shape id="_x0000_s2051" o:spid="_x0000_s2051" o:spt="75" type="#_x0000_t75" style="position:absolute;left:0pt;margin-left:14.6pt;margin-top:51.1pt;height:454.25pt;width:403.35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topAndBottom"/>
          </v:shape>
          <o:OLEObject Type="Embed" ProgID="Visio.Drawing.15" ShapeID="_x0000_s2051" DrawAspect="Content" ObjectID="_1468075726" r:id="rId7">
            <o:LockedField>false</o:LockedField>
          </o:OLEObject>
        </w:pict>
      </w:r>
      <w:r>
        <w:rPr>
          <w:rFonts w:hint="eastAsia"/>
        </w:rPr>
        <w:t>总流程</w:t>
      </w:r>
    </w:p>
    <w:p>
      <w:pPr>
        <w:pStyle w:val="4"/>
      </w:pPr>
      <w:r>
        <w:rPr>
          <w:rFonts w:hint="eastAsia"/>
        </w:rPr>
        <w:t>牙周健康/牙龈炎</w:t>
      </w:r>
      <w:r>
        <w:object>
          <v:shape id="_x0000_i1027" o:spt="75" type="#_x0000_t75" style="height:412.5pt;width:414.7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牙周炎</w:t>
      </w:r>
      <w:r>
        <w:t xml:space="preserve"> </w:t>
      </w:r>
      <w:r>
        <w:object>
          <v:shape id="_x0000_i1028" o:spt="75" type="#_x0000_t75" style="height:222.75pt;width:337.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1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范围和分布</w:t>
      </w:r>
    </w:p>
    <w:p>
      <w:r>
        <w:object>
          <v:shape id="_x0000_i1029" o:spt="75" type="#_x0000_t75" style="height:325.5pt;width:327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3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分期</w:t>
      </w:r>
    </w:p>
    <w:p>
      <w:pPr>
        <w:rPr>
          <w:rFonts w:hint="eastAsia"/>
        </w:rPr>
      </w:pPr>
      <w:r>
        <w:object>
          <v:shape id="_x0000_i1030" o:spt="75" type="#_x0000_t75" style="height:288pt;width:415.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5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分级</w:t>
      </w:r>
    </w:p>
    <w:p>
      <w:r>
        <w:object>
          <v:shape id="_x0000_i1031" o:spt="75" type="#_x0000_t75" style="height:222pt;width:414.7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7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显示界面</w:t>
      </w:r>
    </w:p>
    <w:p>
      <w:pPr>
        <w:pStyle w:val="4"/>
      </w:pPr>
      <w:r>
        <w:rPr>
          <w:rFonts w:hint="eastAsia"/>
        </w:rPr>
        <w:t>健康牙周/牙龈炎界面</w:t>
      </w:r>
    </w:p>
    <w:p>
      <w:r>
        <w:object>
          <v:shape id="_x0000_i1032" o:spt="75" type="#_x0000_t75" style="height:134.25pt;width:41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19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牙周炎分期界面</w:t>
      </w:r>
    </w:p>
    <w:p>
      <w:r>
        <w:object>
          <v:shape id="_x0000_i1033" o:spt="75" type="#_x0000_t75" style="height:41.25pt;width:414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1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牙周炎分级界面</w:t>
      </w:r>
    </w:p>
    <w:p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773430</wp:posOffset>
                </wp:positionV>
                <wp:extent cx="5200650" cy="1724025"/>
                <wp:effectExtent l="0" t="0" r="19050" b="28575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注释：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邻面CAL：每颗牙靠近近中和靠近远中的4个点的CAL，除去最后一颗牙的远中2个点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有CAL牙位&gt;</w:t>
                            </w:r>
                            <w:r>
                              <w:t>30%</w:t>
                            </w:r>
                            <w:r>
                              <w:rPr>
                                <w:rFonts w:hint="eastAsia"/>
                              </w:rPr>
                              <w:t>，分母为（</w:t>
                            </w:r>
                            <w:r>
                              <w:t>32-非牙周原因失牙数目）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一些数字（比如5年以上CAL进展情况后面的数字），对应录入数据里面的选项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先运算完再显示界面，显示页面做成一页；只有当健康牙周/牙龈炎界面结果为牙周炎时，才显示分期和分级界面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表格见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"牙周炎相关表格设计.xlsx"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9"/>
                                <w:rFonts w:hint="eastAsia"/>
                              </w:rPr>
                              <w:t>Excel</w:t>
                            </w:r>
                            <w:r>
                              <w:rPr>
                                <w:rStyle w:val="9"/>
                                <w:rFonts w:hint="eastAs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60.9pt;height:135.75pt;width:409.5pt;mso-position-horizontal:right;mso-position-horizontal-relative:margin;mso-wrap-distance-bottom:3.6pt;mso-wrap-distance-left:9pt;mso-wrap-distance-right:9pt;mso-wrap-distance-top:3.6pt;z-index:251661312;mso-width-relative:page;mso-height-relative:page;" fillcolor="#FFFFFF" filled="t" stroked="t" coordsize="21600,21600" o:gfxdata="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7YpoB1wAAAAgBAAAPAAAA&#10;AAAAAAEAIAAAADgAAABkcnMvZG93bnJldi54bWxQSwECFAAUAAAACACHTuJAZfyrfDkCAAB+BAAA&#10;DgAAAAAAAAABACAAAAA8AQAAZHJzL2Uyb0RvYy54bWxQSwUGAAAAAAYABgBZAQAA5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注释：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邻面CAL：每颗牙靠近近中和靠近远中的4个点的CAL，除去最后一颗牙的远中2个点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有CAL牙位&gt;</w:t>
                      </w:r>
                      <w:r>
                        <w:t>30%</w:t>
                      </w:r>
                      <w:r>
                        <w:rPr>
                          <w:rFonts w:hint="eastAsia"/>
                        </w:rPr>
                        <w:t>，分母为（</w:t>
                      </w:r>
                      <w:r>
                        <w:t>32-非牙周原因失牙数目）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一些数字（比如5年以上CAL进展情况后面的数字），对应录入数据里面的选项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先运算完再显示界面，显示页面做成一页；只有当健康牙周/牙龈炎界面结果为牙周炎时，才显示分期和分级界面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表格见</w:t>
                      </w:r>
                      <w:r>
                        <w:fldChar w:fldCharType="begin"/>
                      </w:r>
                      <w:r>
                        <w:instrText xml:space="preserve"> HYPERLINK "牙周炎相关表格设计.xlsx" </w:instrText>
                      </w:r>
                      <w:r>
                        <w:fldChar w:fldCharType="separate"/>
                      </w:r>
                      <w:r>
                        <w:rPr>
                          <w:rStyle w:val="9"/>
                          <w:rFonts w:hint="eastAsia"/>
                        </w:rPr>
                        <w:t>Excel</w:t>
                      </w:r>
                      <w:r>
                        <w:rPr>
                          <w:rStyle w:val="9"/>
                          <w:rFonts w:hint="eastAsia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>
          <v:shape id="_x0000_i1034" o:spt="75" type="#_x0000_t75" style="height:40.5pt;width:414.7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3">
            <o:LockedField>false</o:LockedField>
          </o:OLEObject>
        </w:objec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3C27AA"/>
    <w:multiLevelType w:val="multilevel"/>
    <w:tmpl w:val="293C27A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243682"/>
    <w:multiLevelType w:val="multilevel"/>
    <w:tmpl w:val="4C243682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94E5276"/>
    <w:multiLevelType w:val="multilevel"/>
    <w:tmpl w:val="594E527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AEF"/>
    <w:rsid w:val="0005478E"/>
    <w:rsid w:val="00421B80"/>
    <w:rsid w:val="004633EA"/>
    <w:rsid w:val="004E3855"/>
    <w:rsid w:val="005D411F"/>
    <w:rsid w:val="00893CCC"/>
    <w:rsid w:val="00953683"/>
    <w:rsid w:val="009C53EF"/>
    <w:rsid w:val="00A161EC"/>
    <w:rsid w:val="00B70F77"/>
    <w:rsid w:val="00BB725B"/>
    <w:rsid w:val="00C87AEF"/>
    <w:rsid w:val="00DC75A1"/>
    <w:rsid w:val="00EB416F"/>
    <w:rsid w:val="00F545EF"/>
    <w:rsid w:val="00F6724B"/>
    <w:rsid w:val="00F976A1"/>
    <w:rsid w:val="00FA447A"/>
    <w:rsid w:val="A6F5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widowControl/>
      <w:numPr>
        <w:ilvl w:val="0"/>
        <w:numId w:val="1"/>
      </w:numPr>
      <w:jc w:val="left"/>
      <w:outlineLvl w:val="1"/>
    </w:pPr>
    <w:rPr>
      <w:rFonts w:ascii="黑体" w:hAnsi="黑体" w:eastAsia="黑体"/>
      <w:sz w:val="32"/>
      <w:szCs w:val="32"/>
    </w:rPr>
  </w:style>
  <w:style w:type="paragraph" w:styleId="3">
    <w:name w:val="heading 3"/>
    <w:basedOn w:val="2"/>
    <w:next w:val="1"/>
    <w:link w:val="12"/>
    <w:unhideWhenUsed/>
    <w:qFormat/>
    <w:uiPriority w:val="9"/>
    <w:pPr>
      <w:numPr>
        <w:ilvl w:val="1"/>
      </w:numPr>
      <w:outlineLvl w:val="2"/>
    </w:pPr>
    <w:rPr>
      <w:sz w:val="30"/>
      <w:szCs w:val="30"/>
    </w:rPr>
  </w:style>
  <w:style w:type="paragraph" w:styleId="4">
    <w:name w:val="heading 4"/>
    <w:basedOn w:val="2"/>
    <w:next w:val="1"/>
    <w:link w:val="13"/>
    <w:unhideWhenUsed/>
    <w:qFormat/>
    <w:uiPriority w:val="9"/>
    <w:pPr>
      <w:numPr>
        <w:ilvl w:val="2"/>
      </w:numPr>
      <w:outlineLvl w:val="3"/>
    </w:pPr>
    <w:rPr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2 字符"/>
    <w:basedOn w:val="8"/>
    <w:link w:val="2"/>
    <w:uiPriority w:val="9"/>
    <w:rPr>
      <w:rFonts w:ascii="黑体" w:hAnsi="黑体" w:eastAsia="黑体"/>
      <w:sz w:val="32"/>
      <w:szCs w:val="32"/>
    </w:rPr>
  </w:style>
  <w:style w:type="character" w:customStyle="1" w:styleId="12">
    <w:name w:val="标题 3 字符"/>
    <w:basedOn w:val="8"/>
    <w:link w:val="3"/>
    <w:uiPriority w:val="9"/>
    <w:rPr>
      <w:rFonts w:ascii="黑体" w:hAnsi="黑体" w:eastAsia="黑体"/>
      <w:sz w:val="30"/>
      <w:szCs w:val="30"/>
    </w:rPr>
  </w:style>
  <w:style w:type="character" w:customStyle="1" w:styleId="13">
    <w:name w:val="标题 4 字符"/>
    <w:basedOn w:val="8"/>
    <w:link w:val="4"/>
    <w:uiPriority w:val="9"/>
    <w:rPr>
      <w:rFonts w:ascii="黑体" w:hAnsi="黑体" w:eastAsia="黑体"/>
      <w:sz w:val="28"/>
      <w:szCs w:val="28"/>
    </w:rPr>
  </w:style>
  <w:style w:type="character" w:customStyle="1" w:styleId="14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15">
    <w:name w:val="页眉 字符"/>
    <w:basedOn w:val="8"/>
    <w:link w:val="6"/>
    <w:uiPriority w:val="99"/>
    <w:rPr>
      <w:sz w:val="18"/>
      <w:szCs w:val="18"/>
    </w:rPr>
  </w:style>
  <w:style w:type="character" w:customStyle="1" w:styleId="16">
    <w:name w:val="页脚 字符"/>
    <w:basedOn w:val="8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Visio___3.vsdx"/><Relationship Id="rId8" Type="http://schemas.openxmlformats.org/officeDocument/2006/relationships/image" Target="media/image3.emf"/><Relationship Id="rId7" Type="http://schemas.openxmlformats.org/officeDocument/2006/relationships/package" Target="embeddings/Microsoft_Visio___2.vsdx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package" Target="embeddings/Microsoft_Visio___1.vsdx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1.emf"/><Relationship Id="rId23" Type="http://schemas.openxmlformats.org/officeDocument/2006/relationships/package" Target="embeddings/Microsoft_Visio___10.vsdx"/><Relationship Id="rId22" Type="http://schemas.openxmlformats.org/officeDocument/2006/relationships/image" Target="media/image10.emf"/><Relationship Id="rId21" Type="http://schemas.openxmlformats.org/officeDocument/2006/relationships/package" Target="embeddings/Microsoft_Visio___9.vsdx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package" Target="embeddings/Microsoft_Visio___8.vsdx"/><Relationship Id="rId18" Type="http://schemas.openxmlformats.org/officeDocument/2006/relationships/image" Target="media/image8.emf"/><Relationship Id="rId17" Type="http://schemas.openxmlformats.org/officeDocument/2006/relationships/package" Target="embeddings/Microsoft_Visio___7.vsdx"/><Relationship Id="rId16" Type="http://schemas.openxmlformats.org/officeDocument/2006/relationships/image" Target="media/image7.emf"/><Relationship Id="rId15" Type="http://schemas.openxmlformats.org/officeDocument/2006/relationships/package" Target="embeddings/Microsoft_Visio___6.vsdx"/><Relationship Id="rId14" Type="http://schemas.openxmlformats.org/officeDocument/2006/relationships/image" Target="media/image6.emf"/><Relationship Id="rId13" Type="http://schemas.openxmlformats.org/officeDocument/2006/relationships/package" Target="embeddings/Microsoft_Visio___5.vsdx"/><Relationship Id="rId12" Type="http://schemas.openxmlformats.org/officeDocument/2006/relationships/image" Target="media/image5.emf"/><Relationship Id="rId11" Type="http://schemas.openxmlformats.org/officeDocument/2006/relationships/package" Target="embeddings/Microsoft_Visio___4.vsdx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56</Words>
  <Characters>322</Characters>
  <Lines>2</Lines>
  <Paragraphs>1</Paragraphs>
  <TotalTime>42</TotalTime>
  <ScaleCrop>false</ScaleCrop>
  <LinksUpToDate>false</LinksUpToDate>
  <CharactersWithSpaces>377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2023-01-13T02:47:00Z</dcterms:created>
  <dc:creator>Ariazmy@outlook.com</dc:creator>
  <cp:lastModifiedBy>Flash</cp:lastModifiedBy>
  <dcterms:modified xsi:type="dcterms:W3CDTF">2023-01-16T16:51:59Z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6F2196ECE9972DF32F10C563FA4D3BF7</vt:lpwstr>
  </property>
</Properties>
</file>