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June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 xml:space="preserve">: Initialized a 4-tier validation suite covering functional, boundary, integration, and biological constraints; since expanded to </w:t>
      </w:r>
      <w:r>
        <w:rPr>
          <w:b/>
        </w:rPr>
        <w:t>99 tests</w:t>
      </w:r>
      <w:r>
        <w:t xml:space="preserve"> running under </w:t>
      </w:r>
      <w:r>
        <w:rPr>
          <w:rFonts w:ascii="Courier New" w:hAnsi="Courier New"/>
          <w:sz w:val="19"/>
          <w:shd w:fill="f7fafc"/>
        </w:rPr>
        <w:t>pytest</w:t>
      </w:r>
      <w:r>
        <w:t xml:space="preserve"> in continuous integration.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reducing stored activations by up to </w:t>
      </w:r>
      <w:r>
        <w:rPr>
          <w:b/>
        </w:rPr>
        <w:t>1502x</w:t>
      </w:r>
      <w:r>
        <w:t xml:space="preserve"> in a synthetic microbenchmark. The accompanying reconstruction error is large (Table 3), and the subsequent measurement phase established that this saving is </w:t>
      </w:r>
      <w:r>
        <w:rPr>
          <w:b/>
        </w:rPr>
        <w:t>not reachable on pretrained Boltz weights</w:t>
      </w:r>
      <w:r>
        <w:t xml:space="preserve"> (Section 6.1).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 xml:space="preserve"> on the grid sweep of Table 2.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Executed the full suite on local hardware with a 100% pass rate.</w:t>
      </w:r>
    </w:p>
    <w:p>
      <w:pPr>
        <w:jc w:val="both"/>
      </w:pPr>
      <w:r>
        <w:t>A second phase moved the project from component microbenchmarks to end-to-end</w:t>
      </w:r>
    </w:p>
    <w:p>
      <w:pPr>
        <w:jc w:val="both"/>
      </w:pPr>
      <w:r>
        <w:t>measurement against pretrained checkpoints and experimentally determined</w:t>
      </w:r>
    </w:p>
    <w:p>
      <w:pPr>
        <w:jc w:val="both"/>
      </w:pPr>
      <w:r>
        <w:t xml:space="preserve">structures. </w:t>
      </w:r>
      <w:r>
        <w:rPr>
          <w:b/>
        </w:rPr>
        <w:t>This phase produced two substantive negative results</w:t>
      </w:r>
      <w:r>
        <w:t>, reported in</w:t>
      </w:r>
    </w:p>
    <w:p>
      <w:pPr>
        <w:jc w:val="both"/>
      </w:pPr>
      <w:r>
        <w:t>full in Section 6: the low-rank pair representation cannot be recovered from</w:t>
      </w:r>
    </w:p>
    <w:p>
      <w:pPr>
        <w:jc w:val="both"/>
      </w:pPr>
      <w:r>
        <w:t>pretrained weights at any rank that saves memory, and interface confidence</w:t>
      </w:r>
    </w:p>
    <w:p>
      <w:pPr>
        <w:jc w:val="both"/>
      </w:pPr>
      <w:r>
        <w:t xml:space="preserve">(ipTM) responds to peptide </w:t>
      </w:r>
      <w:r>
        <w:rPr>
          <w:b/>
        </w:rPr>
        <w:t>composition</w:t>
      </w:r>
      <w:r>
        <w:t xml:space="preserve"> rather than to binding, ranking a</w:t>
      </w:r>
    </w:p>
    <w:p>
      <w:pPr>
        <w:jc w:val="both"/>
      </w:pPr>
      <w:r>
        <w:t>scrambled sequence as highly as the real binder it was made from. The second</w:t>
      </w:r>
    </w:p>
    <w:p>
      <w:pPr>
        <w:jc w:val="both"/>
      </w:pPr>
      <w:r>
        <w:t>finding was established by a power-sized 22-receptor run (132 complexes) whose</w:t>
      </w:r>
    </w:p>
    <w:p>
      <w:pPr>
        <w:jc w:val="both"/>
      </w:pPr>
      <w:r>
        <w:t>headline comparison is statistically significant and whose own scramble control</w:t>
      </w:r>
    </w:p>
    <w:p>
      <w:pPr>
        <w:jc w:val="both"/>
      </w:pPr>
      <w:r>
        <w:t>shows that significance does not mean binding recognition. Both results are</w:t>
      </w:r>
    </w:p>
    <w:p>
      <w:pPr>
        <w:jc w:val="both"/>
      </w:pPr>
      <w:r>
        <w:t>reported because they redirect the remaining work, and both rest on controls,</w:t>
      </w:r>
    </w:p>
    <w:p>
      <w:pPr>
        <w:jc w:val="both"/>
      </w:pPr>
      <w:r>
        <w:t>held-out splits, and power analysis rather than on single favourable runs.</w:t>
      </w:r>
    </w:p>
    <w:p>
      <w:pPr>
        <w:jc w:val="both"/>
      </w:pPr>
      <w:r>
        <w:t>The engineering results stand: the pipeline is device-agnostic, memory-stable on</w:t>
      </w:r>
    </w:p>
    <w:p>
      <w:pPr>
        <w:jc w:val="both"/>
      </w:pPr>
      <w:r>
        <w:t>Apple Silicon, and now measured end to end against real structures rather than</w:t>
      </w:r>
    </w:p>
    <w:p>
      <w:pPr>
        <w:jc w:val="both"/>
      </w:pPr>
      <w:r>
        <w:t>mock tensors.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June 22,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MEASURED RESULTS AGAINST PRETRAINED WEIGHTS 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Low-Rank Pair Representation on Pretrained Weights ......................................................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6.2 Interface Confidence as a Binder-Ranking Reference .......................................................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6.3 Boltz-2 Comparison and a Benchmark Correction ............................................................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6.4 Powered Run: ipTM Tracks Composition, Not Binding ..................................................... 18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FUTURE PLAN ............................................................................................................................. 18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8. ABBREVIATIONS ......................................................................................................................... 19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6.1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6.1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6.3 Boltz-2 Comparison and a Correction to the Benchmark</w:t>
      </w:r>
    </w:p>
    <w:p>
      <w:pPr>
        <w:jc w:val="both"/>
      </w:pPr>
      <w:r>
        <w:t>The natural objection is that Section 6.2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beat their own scrambles (higher for 11 of 22 receptors, mean</w:t>
      </w:r>
    </w:p>
    <w:p>
      <w:pPr>
        <w:jc w:val="both"/>
      </w:pPr>
      <w:r>
        <w:t xml:space="preserve">difference +0.0128, p = 0.416), and </w:t>
      </w:r>
      <w:r>
        <w:rPr>
          <w:b/>
        </w:rPr>
        <w:t>scrambles outscore decoys</w:t>
      </w:r>
      <w:r>
        <w:t xml:space="preserve"> (AUC 0.368,</w:t>
      </w:r>
    </w:p>
    <w:p>
      <w:pPr>
        <w:jc w:val="both"/>
      </w:pPr>
      <w:r>
        <w:t>p = 0.019). The variable separating cognate from decoy is therefore the one a</w:t>
      </w:r>
    </w:p>
    <w:p>
      <w:pPr>
        <w:jc w:val="both"/>
      </w:pPr>
      <w:r>
        <w:t>cognate shares exactly with its own scramble — composition — while the variable</w:t>
      </w:r>
    </w:p>
    <w:p>
      <w:pPr>
        <w:jc w:val="both"/>
      </w:pPr>
      <w:r>
        <w:t>that would indicate binding contributes nothing measurable.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6.2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6.4)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6.2)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Research Collaboratory for Structural Bioinformatics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