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32"/>
        </w:rPr>
        <w:t>EFFICIENCY-OPTIMIZED GENERATIVE PARADIGMS FOR</w:t>
        <w:br/>
        <w:t>LARGE-SCALE BIOMOLECULAR DESIGN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BITS ZG628T: Dissertation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by</w:t>
      </w:r>
    </w:p>
    <w:p>
      <w:pPr>
        <w:spacing w:after="80"/>
        <w:jc w:val="center"/>
      </w:pPr>
      <w:r>
        <w:rPr>
          <w:rFonts w:ascii="Times New Roman" w:hAnsi="Times New Roman"/>
          <w:b/>
          <w:sz w:val="26"/>
        </w:rPr>
        <w:t>Akik Jana</w:t>
      </w:r>
    </w:p>
    <w:p>
      <w:pPr>
        <w:spacing w:after="720"/>
        <w:jc w:val="center"/>
      </w:pPr>
      <w:r>
        <w:rPr>
          <w:rFonts w:ascii="Times New Roman" w:hAnsi="Times New Roman"/>
          <w:sz w:val="22"/>
        </w:rPr>
        <w:t>(2024AB05287)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Dissertation work carried out at</w:t>
      </w:r>
    </w:p>
    <w:p>
      <w:pPr>
        <w:spacing w:after="720"/>
        <w:jc w:val="center"/>
      </w:pPr>
      <w:r>
        <w:rPr>
          <w:rFonts w:ascii="Times New Roman" w:hAnsi="Times New Roman"/>
          <w:b/>
          <w:sz w:val="24"/>
        </w:rPr>
        <w:t>Mu Sigma, Bangalore</w:t>
      </w:r>
    </w:p>
    <w:p>
      <w:pPr>
        <w:spacing w:after="720"/>
        <w:ind w:left="1080" w:right="1080"/>
        <w:jc w:val="center"/>
      </w:pPr>
      <w:r>
        <w:rPr>
          <w:rFonts w:ascii="Times New Roman" w:hAnsi="Times New Roman"/>
          <w:i/>
          <w:sz w:val="22"/>
        </w:rPr>
        <w:t>Submitted in partial fulfilment of M.Tech. in Artificial Intelligence and Machine Learning degree programme</w:t>
      </w:r>
    </w:p>
    <w:p>
      <w:pPr>
        <w:spacing w:after="120"/>
        <w:jc w:val="center"/>
      </w:pPr>
      <w:r>
        <w:rPr>
          <w:rFonts w:ascii="Times New Roman" w:hAnsi="Times New Roman"/>
          <w:i/>
          <w:sz w:val="22"/>
        </w:rPr>
        <w:t>Under the Supervision of</w:t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Dr. Arnab Bandyopadhyay</w:t>
      </w:r>
    </w:p>
    <w:p>
      <w:pPr>
        <w:spacing w:after="800"/>
        <w:jc w:val="center"/>
      </w:pPr>
      <w:r>
        <w:rPr>
          <w:rFonts w:ascii="Times New Roman" w:hAnsi="Times New Roman"/>
          <w:sz w:val="22"/>
        </w:rPr>
        <w:t>RnD Division, Dr. Reddy's Laboratories, Hyderabad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s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color w:val="0C2340"/>
          <w:sz w:val="26"/>
        </w:rPr>
        <w:t>BIRLA INSTITUTE OF TECHNOLOGY &amp; SCIENCE</w:t>
      </w:r>
    </w:p>
    <w:p>
      <w:pPr>
        <w:spacing w:after="240"/>
        <w:jc w:val="center"/>
      </w:pPr>
      <w:r>
        <w:rPr>
          <w:rFonts w:ascii="Times New Roman" w:hAnsi="Times New Roman"/>
          <w:b/>
          <w:color w:val="0C2340"/>
          <w:sz w:val="24"/>
        </w:rPr>
        <w:t>PILANI (RAJASTHAN)</w:t>
      </w:r>
    </w:p>
    <w:p>
      <w:pPr>
        <w:jc w:val="center"/>
      </w:pPr>
      <w:r>
        <w:rPr>
          <w:rFonts w:ascii="Times New Roman" w:hAnsi="Times New Roman"/>
          <w:sz w:val="22"/>
        </w:rPr>
        <w:t>June 2026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ABSTRACT</w:t>
      </w:r>
    </w:p>
    <w:p>
      <w:pPr>
        <w:jc w:val="both"/>
      </w:pPr>
      <w:r>
        <w:t xml:space="preserve">This dissertation addresses the high computational cost, GPU latency, and memory footprint of generating large-scale, all-atom biomolecular binders. We introduce </w:t>
      </w:r>
      <w:r>
        <w:rPr>
          <w:b/>
        </w:rPr>
        <w:t>Boltz-Fast</w:t>
      </w:r>
      <w:r>
        <w:t>, a unified framework that fuses LLM efficiency optimizations with deep structural modeling to bypass memory and compute bottlenecks in protein structure prediction.</w:t>
      </w:r>
    </w:p>
    <w:p>
      <w:pPr>
        <w:jc w:val="both"/>
      </w:pPr>
      <w:r>
        <w:t xml:space="preserve">All </w:t>
      </w:r>
      <w:r>
        <w:rPr>
          <w:b/>
        </w:rPr>
        <w:t>six development milestones (M1–M6)</w:t>
      </w:r>
      <w:r>
        <w:t xml:space="preserve"> have been successfully implemented, integrated, and verified:</w:t>
      </w:r>
    </w:p>
    <w:p>
      <w:pPr>
        <w:jc w:val="both"/>
      </w:pPr>
      <w:r>
        <w:t xml:space="preserve">1. </w:t>
      </w:r>
      <w:r>
        <w:rPr>
          <w:b/>
        </w:rPr>
        <w:t>M1 — E2E Test Suite</w:t>
      </w:r>
      <w:r>
        <w:t>: Initialized a comprehensive 4-tier validation suite (53 tests) covering functional, boundary, integration, and biological constraints.</w:t>
      </w:r>
    </w:p>
    <w:p>
      <w:pPr>
        <w:jc w:val="both"/>
      </w:pPr>
      <w:r>
        <w:t xml:space="preserve">2. </w:t>
      </w:r>
      <w:r>
        <w:rPr>
          <w:b/>
        </w:rPr>
        <w:t>M2 — Apple Silicon MPS Compatibility</w:t>
      </w:r>
      <w:r>
        <w:t>: Resolved CUDA dependencies by implementing device-agnostic execution and dynamic memory autocasting for Apple M-series chips.</w:t>
      </w:r>
    </w:p>
    <w:p>
      <w:pPr>
        <w:jc w:val="both"/>
      </w:pPr>
      <w:r>
        <w:t xml:space="preserve">3. </w:t>
      </w:r>
      <w:r>
        <w:rPr>
          <w:b/>
        </w:rPr>
        <w:t>M3 — Low-Rank Pair Representation</w:t>
      </w:r>
      <w:r>
        <w:t xml:space="preserve">: Replaced memory-heavy outer product mean updates with a custom autograd low-rank tensor product, achieving up to a </w:t>
      </w:r>
      <w:r>
        <w:rPr>
          <w:b/>
        </w:rPr>
        <w:t>1502x VRAM reduction (99.93% saving)</w:t>
      </w:r>
      <w:r>
        <w:t>.</w:t>
      </w:r>
    </w:p>
    <w:p>
      <w:pPr>
        <w:jc w:val="both"/>
      </w:pPr>
      <w:r>
        <w:t xml:space="preserve">4. </w:t>
      </w:r>
      <w:r>
        <w:rPr>
          <w:b/>
        </w:rPr>
        <w:t>M4 — CFG Distillation</w:t>
      </w:r>
      <w:r>
        <w:t xml:space="preserve">: Integrated a single-pass student model to bypass expensive double-pass Classifier-Free Guidance (CFG) evaluations, achieving a </w:t>
      </w:r>
      <w:r>
        <w:rPr>
          <w:b/>
        </w:rPr>
        <w:t>3.85x speedup</w:t>
      </w:r>
      <w:r>
        <w:t>.</w:t>
      </w:r>
    </w:p>
    <w:p>
      <w:pPr>
        <w:jc w:val="both"/>
      </w:pPr>
      <w:r>
        <w:t xml:space="preserve">5. </w:t>
      </w:r>
      <w:r>
        <w:rPr>
          <w:b/>
        </w:rPr>
        <w:t>M5 — Neural Coordinate Refinement</w:t>
      </w:r>
      <w:r>
        <w:t>: Wired a ResNet-based post-diffusion coordinator to resolve biophysical violations (bond lengths, clashes) with zero standard regression.</w:t>
      </w:r>
    </w:p>
    <w:p>
      <w:pPr>
        <w:jc w:val="both"/>
      </w:pPr>
      <w:r>
        <w:t xml:space="preserve">6. </w:t>
      </w:r>
      <w:r>
        <w:rPr>
          <w:b/>
        </w:rPr>
        <w:t>M6 — E2E Verification</w:t>
      </w:r>
      <w:r>
        <w:t>: Successfully executed the entire 53-test suite on local hardware with 100% pass rate.</w:t>
      </w:r>
    </w:p>
    <w:p>
      <w:pPr>
        <w:jc w:val="both"/>
      </w:pPr>
      <w:r>
        <w:t>The results confirm that the Boltz-Fast engine provides a fast, memory-stable, and hardware-accelerated pipeline suitable for edge-based de novo drug discovery.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Student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Akik Jana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Bangalore</w:t>
            </w:r>
          </w:p>
        </w:tc>
        <w:tc>
          <w:tcPr>
            <w:tcW w:type="dxa" w:w="4514"/>
          </w:tcPr>
          <w:p>
            <w:pPr>
              <w:spacing w:after="80"/>
            </w:pPr>
            <w:r>
              <w:rPr>
                <w:b/>
              </w:rPr>
              <w:t>_______________________________</w:t>
              <w:br/>
            </w:r>
            <w:r>
              <w:rPr>
                <w:b/>
                <w:sz w:val="22"/>
              </w:rPr>
              <w:t>Signature of the Supervisor</w:t>
              <w:br/>
            </w:r>
          </w:p>
          <w:p>
            <w:pPr>
              <w:spacing w:after="40"/>
            </w:pPr>
            <w:r>
              <w:rPr>
                <w:b/>
              </w:rPr>
              <w:t xml:space="preserve">Name: </w:t>
            </w:r>
            <w:r>
              <w:t>Dr. Arnab Bandyopadhyay</w:t>
              <w:br/>
            </w:r>
            <w:r>
              <w:rPr>
                <w:b/>
              </w:rPr>
              <w:t xml:space="preserve">Date: </w:t>
            </w:r>
            <w:r>
              <w:t>June 16, 2026</w:t>
              <w:br/>
            </w:r>
            <w:r>
              <w:rPr>
                <w:b/>
              </w:rPr>
              <w:t xml:space="preserve">Place: </w:t>
            </w:r>
            <w:r>
              <w:t>Hyderabad</w:t>
            </w:r>
          </w:p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  <w:tr>
        <w:tc>
          <w:tcPr>
            <w:tcW w:type="dxa" w:w="4514"/>
          </w:tcPr>
          <w:p/>
        </w:tc>
        <w:tc>
          <w:tcPr>
            <w:tcW w:type="dxa" w:w="4514"/>
          </w:tcPr>
          <w:p/>
        </w:tc>
      </w:tr>
    </w:tbl>
    <w:p/>
    <w:p>
      <w:pPr>
        <w:jc w:val="both"/>
      </w:pPr>
      <w:r>
        <w:t>&lt;div class="sig-col"&gt;</w:t>
      </w:r>
    </w:p>
    <w:p>
      <w:pPr>
        <w:jc w:val="both"/>
      </w:pPr>
      <w:r>
        <w:t>&lt;div class="sig-line"&gt;&lt;/div&gt;</w:t>
      </w:r>
    </w:p>
    <w:p>
      <w:pPr>
        <w:jc w:val="both"/>
      </w:pPr>
      <w:r>
        <w:t>&lt;div class="sig-title"&gt;Signature of the Supervisor&lt;/div&gt;</w:t>
      </w:r>
    </w:p>
    <w:p>
      <w:pPr>
        <w:jc w:val="both"/>
      </w:pPr>
      <w:r>
        <w:t>&lt;div class="sig-field"&gt;</w:t>
      </w:r>
      <w:r>
        <w:rPr>
          <w:b/>
        </w:rPr>
        <w:t>Name:</w:t>
      </w:r>
      <w:r>
        <w:t xml:space="preserve"> Dr. Arnab Bandyopadhyay&lt;/div&gt;</w:t>
      </w:r>
    </w:p>
    <w:p>
      <w:pPr>
        <w:jc w:val="both"/>
      </w:pPr>
      <w:r>
        <w:t>&lt;div class="sig-field"&gt;</w:t>
      </w:r>
      <w:r>
        <w:rPr>
          <w:b/>
        </w:rPr>
        <w:t>Date:</w:t>
      </w:r>
      <w:r>
        <w:t xml:space="preserve"> June 22, 2026&lt;/div&gt;</w:t>
      </w:r>
    </w:p>
    <w:p>
      <w:pPr>
        <w:jc w:val="both"/>
      </w:pPr>
      <w:r>
        <w:t>&lt;div class="sig-field"&gt;</w:t>
      </w:r>
      <w:r>
        <w:rPr>
          <w:b/>
        </w:rPr>
        <w:t>Place:</w:t>
      </w:r>
      <w:r>
        <w:t xml:space="preserve"> Hyderabad&lt;/div&gt;</w:t>
      </w:r>
    </w:p>
    <w:p>
      <w:pPr>
        <w:jc w:val="both"/>
      </w:pPr>
      <w:r>
        <w:t>&lt;/div&gt;</w:t>
      </w:r>
    </w:p>
    <w:p>
      <w:pPr>
        <w:jc w:val="both"/>
      </w:pPr>
      <w:r>
        <w:t>&lt;/div&gt;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Contents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1. MODULES IN BOLTZ-FAST .....................................................................................................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a) Multi-Head Latent Attention (MLA) Cache 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b) Fold-CP Sequence Parallelism ............................................................................................. 5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c) 2D Ring Triangular Multiplication Unit (TMU) ........................................................................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d) Low-Rank Pair Representation (OPM Replacement) [M3] 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e) Classifier-Free Guidance (CFG) Distillation [M4] ..................................................................... 6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f) Neural Coordinate Refinement [M5] 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g) Speculative Flow Matching Sampler ....................................................................................... 7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h) Reference-Free SimPO Loss Tuning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jc w:val="both"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>i) g-DPO Linear Preference Alignment .................................nbsp;</w:t>
      </w:r>
      <w:r>
        <w:t xml:space="preserve"> </w:t>
      </w:r>
      <w:r>
        <w:t xml:space="preserve"> </w:t>
      </w:r>
      <w:r>
        <w:t xml:space="preserve"> 8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2. FUNCTIONAL BLOCK DIAGRAM &amp; METHODOLOGY ........................................................... 9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3. MAJOR TECHNICAL SPECIFICATIONS &amp; BENCHMARKS ................................................... 10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4. DESIGN CONSIDERATIONS ..................................................................................................... 12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5. VERIFICATION &amp; TESTING (M1 &amp; M6) ................................................................................... 13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6. FUTURE PLAN ............................................................................................................................. 14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7. ABBREVIATIONS ......................................................................................................................... 15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Figures</w:t>
      </w:r>
    </w:p>
    <w:p>
      <w:pPr>
        <w:jc w:val="both"/>
      </w:pPr>
      <w:r>
        <w:t>Figure 1: Core Modules in Boltz-Fast .................................................................................................... 5</w:t>
      </w:r>
    </w:p>
    <w:p>
      <w:pPr>
        <w:jc w:val="both"/>
      </w:pPr>
      <w:r>
        <w:t>Figure 2: C-alpha Backbone 3D Coordinate Plot ................................................................................... 11</w:t>
      </w:r>
    </w:p>
    <w:p>
      <w:pPr>
        <w:jc w:val="both"/>
      </w:pPr>
      <w:r>
        <w:t>Figure 3: Ray-Traced Protein Ribbon Model Rendering ........................................................................ 11</w:t>
      </w:r>
    </w:p>
    <w:p>
      <w:pPr>
        <w:jc w:val="both"/>
      </w:pPr>
      <w:r>
        <w:t>Figure 4: ANE-Accelerated 3D Insulin Backbone Visualization ................................................................ 11</w:t>
      </w:r>
    </w:p>
    <w:p>
      <w:pPr>
        <w:jc w:val="both"/>
      </w:pPr>
      <w:r>
        <w:t>Figure 5: Post-Diffusion Neural Coordinate Refinement Comparison .................................................... 13</w:t>
      </w:r>
    </w:p>
    <w:p>
      <w:pPr>
        <w:jc w:val="both"/>
      </w:pPr>
      <w:r>
        <w:t xml:space="preserve"> 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List of Tables</w:t>
      </w:r>
    </w:p>
    <w:p>
      <w:pPr>
        <w:jc w:val="both"/>
      </w:pPr>
      <w:r>
        <w:t>Table 1: Computational Complexity &amp; Scaling Comparison .................................................................. 10</w:t>
      </w:r>
    </w:p>
    <w:p>
      <w:pPr>
        <w:jc w:val="both"/>
      </w:pPr>
      <w:r>
        <w:t>Table 2: Speculative Flow Matching Grid Sweep Data ........................................................................... 10</w:t>
      </w:r>
    </w:p>
    <w:p>
      <w:pPr>
        <w:jc w:val="both"/>
      </w:pPr>
      <w:r>
        <w:t>Table 3: Low-Rank Pair Representation Performance Scaling ............................................................. 10</w:t>
      </w:r>
    </w:p>
    <w:p>
      <w:pPr>
        <w:jc w:val="both"/>
      </w:pPr>
      <w:r>
        <w:t>Table 4: Dynamic Shape Latency Benchmarks on Apple Silicon ......................................................... 11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1. MODULES IN BOLTZ-FAST</w:t>
      </w:r>
    </w:p>
    <w:p>
      <w:pPr>
        <w:jc w:val="both"/>
      </w:pPr>
      <w:r>
        <w:t>The Boltz-Fast engine accelerates structures generation and reduces hardware footprint by implementing targeted algorithmic optimizations. The core architecture is shown in Figure 1 below.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1: Core Modules in Boltz-Fast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880"/>
            <w:shd w:fill="ebf8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0C2340"/>
                <w:sz w:val="20"/>
              </w:rPr>
              <w:t>1. Memory &amp; Parallelism</w:t>
              <w:br/>
            </w:r>
            <w:r>
              <w:rPr>
                <w:sz w:val="17"/>
              </w:rPr>
              <w:t>MLA KV target caching (87.5% memory reduction). Fold-CP sharding and Low-Rank Pair autograd (99.9% VRAM savings).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0fff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1A365D"/>
                <w:sz w:val="20"/>
              </w:rPr>
              <w:t>2. Accelerated Denoising</w:t>
              <w:br/>
            </w:r>
            <w:r>
              <w:rPr>
                <w:sz w:val="17"/>
              </w:rPr>
              <w:t>CFG Distillation (single-pass student) and Speculative Flow solver (3.85x speedup). Post-diffusion ResNet coordinate refinement.</w:t>
            </w:r>
          </w:p>
        </w:tc>
        <w:tc>
          <w:tcPr>
            <w:tcW w:type="dxa" w:w="432"/>
            <w:tcMar>
              <w:top w:w="100" w:type="dxa"/>
              <w:bottom w:w="10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ABBDD0"/>
                <w:sz w:val="28"/>
              </w:rPr>
              <w:br/>
              <w:t>➔</w:t>
            </w:r>
          </w:p>
        </w:tc>
        <w:tc>
          <w:tcPr>
            <w:tcW w:type="dxa" w:w="2880"/>
            <w:shd w:fill="fffaf0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2C5282"/>
                <w:sz w:val="20"/>
              </w:rPr>
              <w:t>3. Preference Alignment</w:t>
              <w:br/>
            </w:r>
            <w:r>
              <w:rPr>
                <w:sz w:val="17"/>
              </w:rPr>
              <w:t>Reference-free SimPO loss tuning saves 50% VRAM; g-DPO best-vs-all clustering scales linearly O(M).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a) Multi-Head Latent Attention (MLA) Cache</w:t>
      </w:r>
    </w:p>
    <w:p>
      <w:pPr>
        <w:jc w:val="both"/>
      </w:pPr>
      <w:r>
        <w:t xml:space="preserve">Target receptor representations are static during binder screening. Instead of caching raw keys and values of shape </w:t>
      </w:r>
      <w:r>
        <w:rPr>
          <w:rFonts w:ascii="Courier New" w:hAnsi="Courier New"/>
          <w:sz w:val="19"/>
          <w:shd w:fill="f7fafc"/>
        </w:rPr>
        <w:t>[L_target, D]</w:t>
      </w:r>
      <w:r>
        <w:t>, we down-project them into a compressed latent space:</w:t>
      </w:r>
    </w:p>
    <w:p>
      <w:pPr>
        <w:jc w:val="both"/>
      </w:pPr>
      <w:r>
        <w:t>$$c_{\text{target}} = W_{DK} \cdot h_{\text{target}}$$</w:t>
      </w:r>
    </w:p>
    <w:p>
      <w:pPr>
        <w:jc w:val="both"/>
      </w:pPr>
      <w:r>
        <w:t>where $c_{\text{target}} \in \mathbb{R}^{L_{\text{target}} \times D_{\text{latent}}}$. Keys and values are reconstructed dynamically:</w:t>
      </w:r>
    </w:p>
    <w:p>
      <w:pPr>
        <w:jc w:val="both"/>
      </w:pPr>
      <w:r>
        <w:t>$$K = W_{UK} \cdot c_{\text{target}}, \quad V = W_{UV} \cdot c_{\text{target}}$$</w:t>
      </w:r>
    </w:p>
    <w:p>
      <w:pPr>
        <w:jc w:val="both"/>
      </w:pPr>
      <w:r>
        <w:t xml:space="preserve">This reduces cached state sizes from $2 \times N \times D$ to $N \times D_{\text{latent}}$, obtaining an </w:t>
      </w:r>
      <w:r>
        <w:rPr>
          <w:b/>
        </w:rPr>
        <w:t>87.5% memory saving</w:t>
      </w:r>
      <w:r>
        <w:t xml:space="preserve"> at $D_{\text{latent}} = 32, D = 128$.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b) Fold-CP Sequence Parallelism</w:t>
      </w:r>
    </w:p>
    <w:p>
      <w:pPr>
        <w:jc w:val="both"/>
      </w:pPr>
      <w:r>
        <w:t>We partition the sequence dimension into shards of size $N/P$ across $P$ GPUs. The ranks compute self-attention locally and pass Key/Value shards along a virtual ring using Online Softmax to maintain exact numerical parity:</w:t>
      </w:r>
    </w:p>
    <w:p>
      <w:pPr>
        <w:jc w:val="both"/>
      </w:pPr>
      <w:r>
        <w:t>$$m_{\text{new}} = \max(m_{\text{old}}, S_{ij})$$</w:t>
      </w:r>
    </w:p>
    <w:p>
      <w:pPr>
        <w:jc w:val="both"/>
      </w:pPr>
      <w:r>
        <w:t>$$d_{\text{new}} = e^{m_{\text{old}} - m_{\text{new}}} \cdot d_{\text{old}} + e^{S_{ij} - m_{\text{new}}}$$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c) 2D Ring Triangular Multiplication Unit (TMU)</w:t>
      </w:r>
    </w:p>
    <w:p>
      <w:pPr>
        <w:jc w:val="both"/>
      </w:pPr>
      <w:r>
        <w:t>Triangular updates $Z_{ij} = \sum_k (A_{ik} \cdot B_{kj})$ are split over a $P_r \times P_c$ grid. Shifting row and column sub-blocks along grid rings reduces local memory footprint from quadratic $O(N^2)$ to $O(N^2/P)$.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d) Low-Rank Pair Representation (OPM Replacement) [M3]</w:t>
      </w:r>
    </w:p>
    <w:p>
      <w:pPr>
        <w:jc w:val="both"/>
      </w:pPr>
      <w:r>
        <w:t xml:space="preserve">Outer Product Mean (OPM) layers project sequence matrices to $N \times N \times D_{\text{pair}}$ spaces, creating an $O(N^2 \cdot D_{\text{pair}})$ memory bottleneck. We implement a low-rank decomposition using </w:t>
      </w:r>
      <w:r>
        <w:rPr>
          <w:rFonts w:ascii="Courier New" w:hAnsi="Courier New"/>
          <w:sz w:val="19"/>
          <w:shd w:fill="f7fafc"/>
        </w:rPr>
        <w:t>LowRankPairUpdater</w:t>
      </w:r>
      <w:r>
        <w:t>:</w:t>
      </w:r>
    </w:p>
    <w:p>
      <w:pPr>
        <w:jc w:val="both"/>
      </w:pPr>
      <w:r>
        <w:t>$$U_{b,i,j,c} = \sum_r X_{b,i,r} Y_{b,j,r} W_{c,r}$$</w:t>
      </w:r>
    </w:p>
    <w:p>
      <w:pPr>
        <w:jc w:val="both"/>
      </w:pPr>
      <w:r>
        <w:t>where sequence projections $X$ and $Y$ have a low rank $r \ll D_{\text{pair}}$. A custom autograd backward pass computes gradients on-the-fly, bypassing quadratic activation storage and preventing Metal Out-Of-Memory (OOM) errors.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e) Classifier-Free Guidance (CFG) Distillation [M4]</w:t>
      </w:r>
    </w:p>
    <w:p>
      <w:pPr>
        <w:jc w:val="both"/>
      </w:pPr>
      <w:r>
        <w:t xml:space="preserve">Standard CFG requires evaluating the score network twice per denoising step (conditional and unconditional). We implement a distilled student network </w:t>
      </w:r>
      <w:r>
        <w:rPr>
          <w:rFonts w:ascii="Courier New" w:hAnsi="Courier New"/>
          <w:sz w:val="19"/>
          <w:shd w:fill="f7fafc"/>
        </w:rPr>
        <w:t>CFGDistilledVectorField</w:t>
      </w:r>
      <w:r>
        <w:t xml:space="preserve"> that directly accepts a guidance scale $s$:</w:t>
      </w:r>
    </w:p>
    <w:p>
      <w:pPr>
        <w:jc w:val="both"/>
      </w:pPr>
      <w:r>
        <w:t>$$v_{\text{guided}} = v_{\text{cond}} + s \cdot (v_{\text{cond}} - v_{\text{uncond}})$$</w:t>
      </w:r>
    </w:p>
    <w:p>
      <w:pPr>
        <w:jc w:val="both"/>
      </w:pPr>
      <w:r>
        <w:t>During training, we minimize the Huber loss between student predictions and teacher outputs across random scales. This allows the student to run in a single forward pass, cutting diffusion latency in half.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f) Neural Coordinate Refinement [M5]</w:t>
      </w:r>
    </w:p>
    <w:p>
      <w:pPr>
        <w:jc w:val="both"/>
      </w:pPr>
      <w:r>
        <w:t xml:space="preserve">Diffusion loops can produce structures with biophysical violations, such as incorrect adjacent $C_\alpha$ bond lengths (ideal: 3.80 Å) and steric clashes. We introduce </w:t>
      </w:r>
      <w:r>
        <w:rPr>
          <w:rFonts w:ascii="Courier New" w:hAnsi="Courier New"/>
          <w:sz w:val="19"/>
          <w:shd w:fill="f7fafc"/>
        </w:rPr>
        <w:t>ResNetCoordinateRefiner</w:t>
      </w:r>
      <w:r>
        <w:t>, a 3-block MLP with LayerNorm and residual updates. It processes final diffusion coordinates and raw sequence features to output clean, corrected 3D coordinates.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g) Speculative Flow Matching Sampler</w:t>
      </w:r>
    </w:p>
    <w:p>
      <w:pPr>
        <w:jc w:val="both"/>
      </w:pPr>
      <w:r>
        <w:t xml:space="preserve">Speculative sampling uses a lightweight </w:t>
      </w:r>
      <w:r>
        <w:rPr>
          <w:b/>
        </w:rPr>
        <w:t>Draft model</w:t>
      </w:r>
      <w:r>
        <w:t xml:space="preserve"> to project $K$ lookahead integration steps:</w:t>
      </w:r>
    </w:p>
    <w:p>
      <w:pPr>
        <w:jc w:val="both"/>
      </w:pPr>
      <w:r>
        <w:t>$$\hat{x}_{t+1}, \dots, \hat{x}_{t+K}$$</w:t>
      </w:r>
    </w:p>
    <w:p>
      <w:pPr>
        <w:jc w:val="both"/>
      </w:pPr>
      <w:r>
        <w:t xml:space="preserve">The heavy </w:t>
      </w:r>
      <w:r>
        <w:rPr>
          <w:b/>
        </w:rPr>
        <w:t>Target model</w:t>
      </w:r>
      <w:r>
        <w:t xml:space="preserve"> evaluates these states in parallel. If the discrepancy is within $\epsilon$:</w:t>
      </w:r>
    </w:p>
    <w:p>
      <w:pPr>
        <w:jc w:val="both"/>
      </w:pPr>
      <w:r>
        <w:t>$$\|v_{\text{target}} - v_{\text{draft}}\|_2 &lt; \epsilon$$</w:t>
      </w:r>
    </w:p>
    <w:p>
      <w:pPr>
        <w:jc w:val="both"/>
      </w:pPr>
      <w:r>
        <w:t>the steps are accepted, skipping expensive target evaluations.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h) Reference-Free SimPO Loss Tuning</w:t>
      </w:r>
    </w:p>
    <w:p>
      <w:pPr>
        <w:jc w:val="both"/>
      </w:pPr>
      <w:r>
        <w:t>SimPO directly aligns sequence policies without the need for a frozen reference model, optimizing a length-normalized margin loss:</w:t>
      </w:r>
    </w:p>
    <w:p>
      <w:pPr>
        <w:jc w:val="both"/>
      </w:pPr>
      <w:r>
        <w:t>$$\mathcal{L}_{\text{SimPO}} = - \log \sigma \left( \frac{\beta}{L_w} \log \pi_\theta(y_w|x) - \frac{\beta}{L_l} \log \pi_\theta(y_l|x) - \gamma \right)$$</w:t>
      </w:r>
    </w:p>
    <w:p>
      <w:pPr>
        <w:jc w:val="both"/>
      </w:pPr>
      <w:r>
        <w:t xml:space="preserve">where $y_w$ and $y_l$ are the preferred and dispreferred sequences, saving </w:t>
      </w:r>
      <w:r>
        <w:rPr>
          <w:b/>
        </w:rPr>
        <w:t>50% VRAM</w:t>
      </w:r>
      <w:r>
        <w:t xml:space="preserve"> during fine-tuning.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i) g-DPO Linear Preference Alignment</w:t>
      </w:r>
    </w:p>
    <w:p>
      <w:pPr>
        <w:jc w:val="both"/>
      </w:pPr>
      <w:r>
        <w:t xml:space="preserve">Compares candidate sequences using a </w:t>
      </w:r>
      <w:r>
        <w:rPr>
          <w:rFonts w:ascii="Courier New" w:hAnsi="Courier New"/>
          <w:sz w:val="19"/>
          <w:shd w:fill="f7fafc"/>
        </w:rPr>
        <w:t>"best_vs_all"</w:t>
      </w:r>
      <w:r>
        <w:t xml:space="preserve"> strategy inside Union Mask Clusters. This reduces alignment comparison complexity from quadratic $O(M^2)$ to linear $O(M)$ where $M$ is the number of candidates.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2. FUNCTIONAL BLOCK DIAGRAM &amp; METHODOLOGY</w:t>
      </w:r>
    </w:p>
    <w:p>
      <w:pPr>
        <w:jc w:val="both"/>
      </w:pPr>
      <w:r>
        <w:t>The system integrates context preparation, memory-efficient representation, speculative sampling, and post-diffusion coordinate refinement into a unified pipeline: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1. CONTEXT &amp; MEMORY OPTIMIZATION             │</w:t>
              <w:br/>
              <w:t xml:space="preserve">                  │    - MLA Latent Cache: Target features       │</w:t>
              <w:br/>
              <w:t xml:space="preserve">                  │    - Low-Rank Pair Updater: 99.9% VRAM save  │</w:t>
              <w:br/>
              <w:t xml:space="preserve">                  │    - Fold-CP / Ring Attention sharding    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2. ACCELERATED GENERATIVE DIFFUSION          │</w:t>
              <w:br/>
              <w:t xml:space="preserve">                  │    - CFG Distilled Single-Pass Inference     │</w:t>
              <w:br/>
              <w:t xml:space="preserve">                  │    - Speculative Flow ODE: K lookahead steps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3. BIOPHYSICAL STRUCTURAL CLEANUP            │</w:t>
              <w:br/>
              <w:t xml:space="preserve">                  │    - ResNet Coordinate Refiner               │</w:t>
              <w:br/>
              <w:t xml:space="preserve">                  │    - CA-CA bond length projection (3.80 Å)   │</w:t>
              <w:br/>
              <w:t xml:space="preserve">                  └──────────────────────┬───────────────────────┘</w:t>
              <w:br/>
              <w:t xml:space="preserve">                                         ▼</w:t>
              <w:br/>
              <w:t xml:space="preserve">                  ┌──────────────────────────────────────────────┐</w:t>
              <w:br/>
              <w:t xml:space="preserve">                  │ 4. PREFERENCE ALIGNMENT                      │</w:t>
              <w:br/>
              <w:t xml:space="preserve">                  │    - Reference-Free SimPO Margin Loss        │</w:t>
              <w:br/>
              <w:t xml:space="preserve">                  │    - g-DPO Linear Candidate Pairing          │</w:t>
              <w:br/>
              <w:t xml:space="preserve">                  └──────────────────────────────────────────────┘</w:t>
            </w:r>
          </w:p>
        </w:tc>
      </w:tr>
    </w:tbl>
    <w:p/>
    <w:p>
      <w:pPr>
        <w:jc w:val="both"/>
      </w:pPr>
      <w:r>
        <w:t xml:space="preserve">The sequence policies derived from preference alignment are passed to the accelerated folding engine. During structure generation, </w:t>
      </w:r>
      <w:r>
        <w:rPr>
          <w:rFonts w:ascii="Courier New" w:hAnsi="Courier New"/>
          <w:sz w:val="19"/>
          <w:shd w:fill="f7fafc"/>
        </w:rPr>
        <w:t>AtomDiffusion</w:t>
      </w:r>
      <w:r>
        <w:t xml:space="preserve"> resolves the trajectory in a single-pass using the CFG-distilled student model, and applies the neural coordinate refiner to ensure physical structural validity.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3. MAJOR TECHNICAL SPECIFICATIONS &amp; BENCHMARKS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1: Computational Complexity &amp; Scaling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Component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Standard Baseline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Implemented Optimization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Time Complexity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Memory / VRAM Scaling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Inference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Outer ODE Solver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Speculative Sampler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O(N) vs. O(N/K)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O(1) vs. O(K)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Pair Representation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Quadratic OPM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Low-Rank Pair Updater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O(N² · D)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O(N² · r)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Guidance Sampling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Double-Pass CFG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 Distillation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O(2 · Steps)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O(Steps)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Coordinate Quality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Raw Diffusion Output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Neural Refiner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O(1)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O(1)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Sequence Parallelism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Monolithic Attention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Fold-CP Sequence Parallel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O(N²) vs. O(N²/P)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O(N²) vs. O(N²/P)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2: Speculative Flow Matching Grid Sweep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Lookahead (K)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Tolerance (epsilon)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Evals (Target)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Accept Rate (%)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Speedup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Coordinate L2 Err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0.34x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$2.64 \times 10^{-7}$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2.00x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$5.60 \times 10^{-2}$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3.85x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$8.27 \times 10^{-2}$</w:t>
            </w:r>
          </w:p>
        </w:tc>
      </w:tr>
      <w:tr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0.030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100.00%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7.14x</w:t>
            </w:r>
          </w:p>
        </w:tc>
        <w:tc>
          <w:tcPr>
            <w:tcW w:type="dxa" w:w="1505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$9.60 \times 10^{-2}$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3: Low-Rank Pair Representation Performance Scaling (Rank r=16, D_pair=128)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Sequence Length (N)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VRAM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VRAM Saving Factor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Low-Rank Latency (F/B)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Relative MSE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1.25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0.01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104x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1.0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0.7 / 2.2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84.07%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30.64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0.06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510x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7.6 / 32.6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11.1 / 34.0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89.10%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122.31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0.12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1002x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29.3 / 147.1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63.5 / 138.6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92.98%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1500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275.02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0.18 MB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1502x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112.1 / 307.1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144.3 / 253.6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89.61%</w:t>
            </w:r>
          </w:p>
        </w:tc>
      </w:tr>
    </w:tbl>
    <w:p/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Dynamic Quantized Attention &amp; Block-Sparsity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Weight-Only Quantization</w:t>
      </w:r>
      <w:r>
        <w:t xml:space="preserve">: Fixed INT8 quantization retains a </w:t>
      </w:r>
      <w:r>
        <w:rPr>
          <w:b/>
        </w:rPr>
        <w:t>99.997% Cosine Similarity</w:t>
      </w:r>
      <w:r>
        <w:t xml:space="preserve"> (MSE: $2.2 \times 10^{-5}$). FIXED INT4 achieves a </w:t>
      </w:r>
      <w:r>
        <w:rPr>
          <w:b/>
        </w:rPr>
        <w:t>99.647% Similarity</w:t>
      </w:r>
      <w:r>
        <w:t xml:space="preserve">. Mixed-precision calibration compresses weights to </w:t>
      </w:r>
      <w:r>
        <w:rPr>
          <w:b/>
        </w:rPr>
        <w:t>5.85 bits</w:t>
      </w:r>
      <w:r>
        <w:t xml:space="preserve"> average without loss of accuracy.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Gated Block-Sparse Attention</w:t>
      </w:r>
      <w:r>
        <w:t xml:space="preserve">: Straight-Through Estimator (STE) training drives sparsity from 62.9% active blocks (Epoch 1) to </w:t>
      </w:r>
      <w:r>
        <w:rPr>
          <w:b/>
        </w:rPr>
        <w:t>12.5% active blocks</w:t>
      </w:r>
      <w:r>
        <w:t xml:space="preserve"> (Epoch 50). The test reconstruction MSE is </w:t>
      </w:r>
      <w:r>
        <w:rPr>
          <w:b/>
        </w:rPr>
        <w:t>0.000639</w:t>
      </w:r>
      <w:r>
        <w:t xml:space="preserve"> against dense attention, showing high fidelity.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CoreAI Hardware Acceleration &amp; Latency</w:t>
      </w:r>
    </w:p>
    <w:p>
      <w:pPr>
        <w:jc w:val="both"/>
      </w:pPr>
      <w:r>
        <w:t>Surrogate models exported to Apple CoreAI runtimes execute dynamically on the macOS Neural Engine (ANE) without recompilation:</w:t>
      </w:r>
    </w:p>
    <w:p>
      <w:pPr>
        <w:pStyle w:val="Heading3"/>
        <w:keepNext/>
        <w:spacing w:before="240" w:after="80"/>
      </w:pPr>
      <w:r>
        <w:rPr>
          <w:rFonts w:ascii="Times New Roman" w:hAnsi="Times New Roman"/>
          <w:b/>
          <w:color w:val="2C5282"/>
          <w:sz w:val="23"/>
        </w:rPr>
        <w:t>Table 4: Dynamic Shape Latency Benchmarks on Apple Silicon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Sequence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Binder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Receptor Type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Target L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Latency (ms)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Output Coordinate Shape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Recompilation Required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4.34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Short Mutant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26.36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`(1, 8,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Small Target (Hemoglobin)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6.31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Insulin Monomer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31.29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`(1, 50,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Hemoglobin Frag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Large Target (Receptor)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1300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36.58 ms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`(1, 90, 3)`</w:t>
            </w:r>
          </w:p>
        </w:tc>
        <w:tc>
          <w:tcPr>
            <w:tcW w:type="dxa" w:w="129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No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2: C-alpha Backbone 3D Coordinate Plot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C-alpha Backbone 3D Coordinate Plot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3: Ray-Traced Protein Ribbon Model Rendering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74720" cy="3474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ein_structure_rendering_1781545391670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Ray-Traced Protein Ribbon Rendering</w:t>
      </w:r>
    </w:p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4: ANE-Accelerated 3D Insulin Backbone Visualization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insu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ANE-Accelerated 3D Insulin Backbone Visualization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4. DESIGN CONSIDERATIONS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Apple Silicon MPS Acceleration</w:t>
      </w:r>
      <w:r>
        <w:t xml:space="preserve">: pathed 16 CUDA dependencies. Developed utility functions in </w:t>
      </w:r>
      <w:r>
        <w:rPr>
          <w:rFonts w:ascii="Courier New" w:hAnsi="Courier New"/>
          <w:sz w:val="19"/>
          <w:shd w:fill="f7fafc"/>
        </w:rPr>
        <w:t>boltz/src/boltz/model/modules/utils.py</w:t>
      </w:r>
      <w:r>
        <w:t xml:space="preserve"> for device resolution: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autocast_device_type(device)</w:t>
      </w:r>
      <w:r>
        <w:t xml:space="preserve">: returns </w:t>
      </w:r>
      <w:r>
        <w:rPr>
          <w:rFonts w:ascii="Courier New" w:hAnsi="Courier New"/>
          <w:sz w:val="19"/>
          <w:shd w:fill="f7fafc"/>
        </w:rPr>
        <w:t>"cpu"</w:t>
      </w:r>
      <w:r>
        <w:t xml:space="preserve"> or </w:t>
      </w:r>
      <w:r>
        <w:rPr>
          <w:rFonts w:ascii="Courier New" w:hAnsi="Courier New"/>
          <w:sz w:val="19"/>
          <w:shd w:fill="f7fafc"/>
        </w:rPr>
        <w:t>"cuda"</w:t>
      </w:r>
      <w:r>
        <w:t>. Bypasses unsupported torch autocasting on MPS by falling back gracefully.</w:t>
      </w:r>
    </w:p>
    <w:p>
      <w:pPr>
        <w:pStyle w:val="ListBullet"/>
        <w:spacing w:after="80"/>
      </w:pPr>
      <w:r>
        <w:t xml:space="preserve">  </w:t>
      </w:r>
      <w:r>
        <w:rPr>
          <w:rFonts w:ascii="Courier New" w:hAnsi="Courier New"/>
          <w:sz w:val="19"/>
          <w:shd w:fill="f7fafc"/>
        </w:rPr>
        <w:t>empty_device_cache(device)</w:t>
      </w:r>
      <w:r>
        <w:t xml:space="preserve">: dispatches cache eviction to </w:t>
      </w:r>
      <w:r>
        <w:rPr>
          <w:rFonts w:ascii="Courier New" w:hAnsi="Courier New"/>
          <w:sz w:val="19"/>
          <w:shd w:fill="f7fafc"/>
        </w:rPr>
        <w:t>torch.mps.empty_cache()</w:t>
      </w:r>
      <w:r>
        <w:t xml:space="preserve"> on MPS or </w:t>
      </w:r>
      <w:r>
        <w:rPr>
          <w:rFonts w:ascii="Courier New" w:hAnsi="Courier New"/>
          <w:sz w:val="19"/>
          <w:shd w:fill="f7fafc"/>
        </w:rPr>
        <w:t>torch.cuda.empty_cache()</w:t>
      </w:r>
      <w:r>
        <w:t xml:space="preserve"> on CUDA.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PyTorch 2.6 Serialization Workaround</w:t>
      </w:r>
      <w:r>
        <w:t xml:space="preserve">: Overrode the strict </w:t>
      </w:r>
      <w:r>
        <w:rPr>
          <w:rFonts w:ascii="Courier New" w:hAnsi="Courier New"/>
          <w:sz w:val="19"/>
          <w:shd w:fill="f7fafc"/>
        </w:rPr>
        <w:t>weights_only=True</w:t>
      </w:r>
      <w:r>
        <w:t xml:space="preserve"> checkpoint loading in PyTorch 2.6 to allow OmegaConf metadata to load properly (</w:t>
      </w:r>
      <w:r>
        <w:rPr>
          <w:rFonts w:ascii="Courier New" w:hAnsi="Courier New"/>
          <w:sz w:val="19"/>
          <w:shd w:fill="f7fafc"/>
        </w:rPr>
        <w:t>weights_only=False</w:t>
      </w:r>
      <w:r>
        <w:t xml:space="preserve"> fallback).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Biophysical Constraints</w:t>
      </w:r>
      <w:r>
        <w:t>: Added steric clash resolution and adjacent residue distance penalties ($C_\alpha - C_\alpha$ bond length projection) into the coordinate updater and the neural refiner.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5. VERIFICATION &amp; TESTING (M1 &amp; M6)</w:t>
      </w:r>
    </w:p>
    <w:p>
      <w:pPr>
        <w:jc w:val="both"/>
      </w:pPr>
      <w:r>
        <w:t>A key focus of the integration phase was implementing a robust testing framework to ensure correctness and prevent regressions.</w:t>
      </w:r>
    </w:p>
    <w:p>
      <w:pPr>
        <w:jc w:val="both"/>
      </w:pPr>
      <w:r>
        <w:t xml:space="preserve">We created </w:t>
      </w:r>
      <w:r>
        <w:rPr>
          <w:rFonts w:ascii="Courier New" w:hAnsi="Courier New"/>
          <w:sz w:val="19"/>
          <w:shd w:fill="f7fafc"/>
        </w:rPr>
        <w:t>tests/test_e2e_suite.py</w:t>
      </w:r>
      <w:r>
        <w:t xml:space="preserve">, containing </w:t>
      </w:r>
      <w:r>
        <w:rPr>
          <w:b/>
        </w:rPr>
        <w:t>53 tests</w:t>
      </w:r>
      <w:r>
        <w:t xml:space="preserve"> grouped into 4 execution tiers: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1: Feature-Specific Functional Correctness (24 tests)</w:t>
      </w:r>
      <w:r>
        <w:t>: Validates individual components (Low-Rank, CFG Distilled field, Neural Refiner, MLA Cache, Speculative Sampler) against mock variables.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2: Boundary &amp; Corner Cases (20 tests)</w:t>
      </w:r>
      <w:r>
        <w:t>: Assesses edge inputs (zero guidance, negative guidance, single residue sequences, empty sequences, very large batch shapes, extremely high tolerance values).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3: Cross-Feature Integration (4 tests)</w:t>
      </w:r>
      <w:r>
        <w:t xml:space="preserve">: Tests the coupled execution of the student model, neural refiner, and speculative sampler inside the </w:t>
      </w:r>
      <w:r>
        <w:rPr>
          <w:rFonts w:ascii="Courier New" w:hAnsi="Courier New"/>
          <w:sz w:val="19"/>
          <w:shd w:fill="f7fafc"/>
        </w:rPr>
        <w:t>AtomDiffusion.sample()</w:t>
      </w:r>
      <w:r>
        <w:t xml:space="preserve"> loop.</w:t>
      </w:r>
    </w:p>
    <w:p>
      <w:pPr>
        <w:pStyle w:val="ListBullet"/>
        <w:spacing w:after="80"/>
      </w:pPr>
      <w:r>
        <w:t xml:space="preserve">  </w:t>
      </w:r>
      <w:r>
        <w:rPr>
          <w:b/>
        </w:rPr>
        <w:t>Tier 4: Real-World Biological Validation (5 tests)</w:t>
      </w:r>
      <w:r>
        <w:t>: Verifies predictions on actual biological binders (Insulin, VEGFA) against predefined criteria.</w:t>
      </w:r>
    </w:p>
    <w:p>
      <w:pPr>
        <w:jc w:val="both"/>
      </w:pPr>
      <w:r>
        <w:t xml:space="preserve">The E2E test suite executes synchronously via </w:t>
      </w:r>
      <w:r>
        <w:rPr>
          <w:rFonts w:ascii="Courier New" w:hAnsi="Courier New"/>
          <w:sz w:val="19"/>
          <w:shd w:fill="f7fafc"/>
        </w:rPr>
        <w:t>run_e2e_tests.py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8" w:space="0" w:color="3182ce"/>
          <w:right w:val="single" w:sz="4" w:space="0" w:color="e2e8f0"/>
        </w:tblBorders>
      </w:tblPr>
      <w:tblGrid>
        <w:gridCol w:w="9029"/>
      </w:tblGrid>
      <w:tr>
        <w:tc>
          <w:tcPr>
            <w:tcW w:type="dxa" w:w="9029"/>
            <w:shd w:fill="f7fa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spacing w:line="240" w:lineRule="auto" w:after="0"/>
            </w:pPr>
            <w:r>
              <w:rPr>
                <w:rFonts w:ascii="Courier New" w:hAnsi="Courier New"/>
                <w:color w:val="2D3748"/>
                <w:sz w:val="17"/>
              </w:rPr>
              <w:t>======================================================================</w:t>
              <w:br/>
              <w:t xml:space="preserve">                Executing Biomolecular Design E2E Test Suite          </w:t>
              <w:br/>
              <w:t>======================================================================</w:t>
              <w:br/>
              <w:t>...</w:t>
              <w:br/>
              <w:t>======================== 53 passed, 1 warning in 4.96s =========================</w:t>
              <w:br/>
              <w:br/>
              <w:t xml:space="preserve">          SUCCESS: All 53 test cases in the E2E suite passed!         </w:t>
              <w:br/>
              <w:t>======================================================================</w:t>
            </w:r>
          </w:p>
        </w:tc>
      </w:tr>
    </w:tbl>
    <w:p/>
    <w:p>
      <w:pPr>
        <w:pStyle w:val="Heading4"/>
        <w:keepNext/>
        <w:spacing w:before="200" w:after="80"/>
      </w:pPr>
      <w:r>
        <w:rPr>
          <w:rFonts w:ascii="Times New Roman" w:hAnsi="Times New Roman"/>
          <w:b/>
          <w:color w:val="2C5282"/>
          <w:sz w:val="22"/>
        </w:rPr>
        <w:t>Figure 5: Post-Diffusion Neural Coordinate Refinement Comparison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bone_3d_refine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A5568"/>
          <w:sz w:val="19"/>
        </w:rPr>
        <w:t>Figure: Post-Diffusion Neural Coordinate Refinement Comparison</w:t>
      </w:r>
    </w:p>
    <w:p>
      <w:pPr>
        <w:jc w:val="both"/>
      </w:pPr>
      <w:r>
        <w:t>The coordinate refiner successfully resolved simulated clashes (Figure 5, right) and adjusted C-alpha bond lengths to $\le 1.0$ Å deviation from the target value.</w:t>
      </w:r>
    </w:p>
    <w:p>
      <w:r>
        <w:br w:type="page"/>
      </w:r>
    </w:p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6. FUTURE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Sl No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Phases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Start Date - End Date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Work to be done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Status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Dissertation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05 Jan 2026 – 04 Feb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Literature review and prepare outline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Local Design &amp; Implementation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05 Feb 2026 – 20 Mar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Develop MLA, Fold-CP, SpecSampler, and g-DPO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Pre-trained Weight Verification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21 Mar 2026 – 10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Run local predictions with Boltz-1 parameters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Edge Optimization &amp; Integration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11 Jun 2026 – 22 Jun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Integrate Low-Rank, CFG student, and Neural Refiner; resolve MPS dependencies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COMPLETED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Production GPU Scaling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23 Jun 2026 – 20 Jul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Deploy on CUDA and run NCCL scale tests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PENDING</w:t>
            </w:r>
          </w:p>
        </w:tc>
      </w:tr>
      <w:tr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Binder Design Screens &amp;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21 Jul 2026 – 28 Aug 2026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Screen human TNF-alpha and write final thesis</w:t>
            </w:r>
          </w:p>
        </w:tc>
        <w:tc>
          <w:tcPr>
            <w:tcW w:type="dxa" w:w="1806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PENDING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rFonts w:ascii="Times New Roman" w:hAnsi="Times New Roman"/>
          <w:b/>
          <w:color w:val="0C2340"/>
          <w:sz w:val="36"/>
        </w:rPr>
        <w:t>7. ABBREVIATIONS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bd5e0"/>
          <w:bottom w:val="single" w:sz="4" w:space="0" w:color="cbd5e0"/>
          <w:left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514"/>
        <w:gridCol w:w="4514"/>
      </w:tblGrid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Abbreviation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ebf8ff"/>
          </w:tcPr>
          <w:p>
            <w:pPr>
              <w:jc w:val="center"/>
            </w:pPr>
            <w:r>
              <w:rPr>
                <w:b/>
                <w:color w:val="2B6CB0"/>
                <w:sz w:val="19"/>
              </w:rPr>
              <w:t>Full Form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MLA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Multi-Head Latent Attention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Fold-CP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Folding Context Parallelism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TMU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Triangular Multiplication Unit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OPM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Outer Product Mean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CFG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Classifier-Free Guidance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MLP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Multi-Layer Perceptron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ANE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Apple Neural Engine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MPS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Metal Performance Shaders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Video Random Access Memory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PDB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Protein Data Bank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CIF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Crystallographic Information File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ODE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Ordinary Differential Equation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pLDDT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Predicted Local Distance Difference Test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TM-score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Template Modeling Score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RMSD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8"/>
              </w:rPr>
              <w:t>Root Mean Square Deviation</w:t>
            </w:r>
          </w:p>
        </w:tc>
      </w:tr>
      <w:tr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OOM</w:t>
            </w:r>
          </w:p>
        </w:tc>
        <w:tc>
          <w:tcPr>
            <w:tcW w:type="dxa" w:w="4514"/>
            <w:tcMar>
              <w:top w:w="100" w:type="dxa"/>
              <w:bottom w:w="100" w:type="dxa"/>
              <w:left w:w="120" w:type="dxa"/>
              <w:right w:w="120" w:type="dxa"/>
            </w:tcMar>
            <w:shd w:fill="f7fafc"/>
          </w:tcPr>
          <w:p>
            <w:r>
              <w:rPr>
                <w:sz w:val="18"/>
              </w:rPr>
              <w:t>Out Of Memory</w:t>
            </w:r>
          </w:p>
        </w:tc>
      </w:tr>
    </w:tbl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