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June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</w:t>
      </w:r>
    </w:p>
    <w:p>
      <w:pPr>
        <w:jc w:val="both"/>
      </w:pPr>
      <w:r>
        <w:t xml:space="preserve">This dissertation addresses the high computational cost, GPU latency, and memory footprint of generating large-scale, all-atom biomolecular binders. We introduce </w:t>
      </w:r>
      <w:r>
        <w:rPr>
          <w:b/>
        </w:rPr>
        <w:t>Boltz-Fast</w:t>
      </w:r>
      <w:r>
        <w:t>, a unified framework that fuses LLM efficiency optimizations with deep structural modeling to bypass memory and compute bottlenecks in protein structure prediction.</w:t>
      </w:r>
    </w:p>
    <w:p>
      <w:pPr>
        <w:jc w:val="both"/>
      </w:pPr>
      <w:r>
        <w:t xml:space="preserve">All </w:t>
      </w:r>
      <w:r>
        <w:rPr>
          <w:b/>
        </w:rPr>
        <w:t>six development milestones (M1–M6)</w:t>
      </w:r>
      <w:r>
        <w:t xml:space="preserve"> have been implemented, integrated, and verified:</w:t>
      </w:r>
    </w:p>
    <w:p>
      <w:pPr>
        <w:jc w:val="both"/>
      </w:pPr>
      <w:r>
        <w:t xml:space="preserve">1. </w:t>
      </w:r>
      <w:r>
        <w:rPr>
          <w:b/>
        </w:rPr>
        <w:t>M1 — E2E Test Suite</w:t>
      </w:r>
      <w:r>
        <w:t xml:space="preserve">: Initialized a 4-tier validation suite covering functional, boundary, integration, and biological constraints; since expanded to </w:t>
      </w:r>
      <w:r>
        <w:rPr>
          <w:b/>
        </w:rPr>
        <w:t>99 tests</w:t>
      </w:r>
      <w:r>
        <w:t xml:space="preserve"> running under </w:t>
      </w:r>
      <w:r>
        <w:rPr>
          <w:rFonts w:ascii="Courier New" w:hAnsi="Courier New"/>
          <w:sz w:val="19"/>
          <w:shd w:fill="f7fafc"/>
        </w:rPr>
        <w:t>pytest</w:t>
      </w:r>
      <w:r>
        <w:t xml:space="preserve"> in continuous integration.</w:t>
      </w:r>
    </w:p>
    <w:p>
      <w:pPr>
        <w:jc w:val="both"/>
      </w:pPr>
      <w:r>
        <w:t xml:space="preserve">2. </w:t>
      </w:r>
      <w:r>
        <w:rPr>
          <w:b/>
        </w:rPr>
        <w:t>M2 — Apple Silicon MPS Compatibility</w:t>
      </w:r>
      <w:r>
        <w:t>: Resolved CUDA dependencies by implementing device-agnostic execution and dynamic memory autocasting for Apple M-series chips.</w:t>
      </w:r>
    </w:p>
    <w:p>
      <w:pPr>
        <w:jc w:val="both"/>
      </w:pPr>
      <w:r>
        <w:t xml:space="preserve">3. </w:t>
      </w:r>
      <w:r>
        <w:rPr>
          <w:b/>
        </w:rPr>
        <w:t>M3 — Low-Rank Pair Representation</w:t>
      </w:r>
      <w:r>
        <w:t xml:space="preserve">: Replaced memory-heavy outer product mean updates with a custom autograd low-rank tensor product, reducing stored activations by up to </w:t>
      </w:r>
      <w:r>
        <w:rPr>
          <w:b/>
        </w:rPr>
        <w:t>1502x</w:t>
      </w:r>
      <w:r>
        <w:t xml:space="preserve"> in a synthetic microbenchmark. The accompanying reconstruction error is large (Table 3), and the subsequent measurement phase established that this saving is </w:t>
      </w:r>
      <w:r>
        <w:rPr>
          <w:b/>
        </w:rPr>
        <w:t>not reachable on pretrained Boltz weights</w:t>
      </w:r>
      <w:r>
        <w:t xml:space="preserve"> (Section 6.1).</w:t>
      </w:r>
    </w:p>
    <w:p>
      <w:pPr>
        <w:jc w:val="both"/>
      </w:pPr>
      <w:r>
        <w:t xml:space="preserve">4. </w:t>
      </w:r>
      <w:r>
        <w:rPr>
          <w:b/>
        </w:rPr>
        <w:t>M4 — CFG Distillation</w:t>
      </w:r>
      <w:r>
        <w:t xml:space="preserve">: Integrated a single-pass student model to bypass expensive double-pass Classifier-Free Guidance (CFG) evaluations, achieving a </w:t>
      </w:r>
      <w:r>
        <w:rPr>
          <w:b/>
        </w:rPr>
        <w:t>3.85x speedup</w:t>
      </w:r>
      <w:r>
        <w:t xml:space="preserve"> on the grid sweep of Table 2.</w:t>
      </w:r>
    </w:p>
    <w:p>
      <w:pPr>
        <w:jc w:val="both"/>
      </w:pPr>
      <w:r>
        <w:t xml:space="preserve">5. </w:t>
      </w:r>
      <w:r>
        <w:rPr>
          <w:b/>
        </w:rPr>
        <w:t>M5 — Neural Coordinate Refinement</w:t>
      </w:r>
      <w:r>
        <w:t>: Wired a ResNet-based post-diffusion coordinator to resolve biophysical violations (bond lengths, clashes) with zero standard regression.</w:t>
      </w:r>
    </w:p>
    <w:p>
      <w:pPr>
        <w:jc w:val="both"/>
      </w:pPr>
      <w:r>
        <w:t xml:space="preserve">6. </w:t>
      </w:r>
      <w:r>
        <w:rPr>
          <w:b/>
        </w:rPr>
        <w:t>M6 — E2E Verification</w:t>
      </w:r>
      <w:r>
        <w:t>: Executed the full suite on local hardware with a 100% pass rate.</w:t>
      </w:r>
    </w:p>
    <w:p>
      <w:pPr>
        <w:jc w:val="both"/>
      </w:pPr>
      <w:r>
        <w:t>A second phase moved the project from component microbenchmarks to end-to-end</w:t>
      </w:r>
    </w:p>
    <w:p>
      <w:pPr>
        <w:jc w:val="both"/>
      </w:pPr>
      <w:r>
        <w:t>measurement against pretrained checkpoints and experimentally determined</w:t>
      </w:r>
    </w:p>
    <w:p>
      <w:pPr>
        <w:jc w:val="both"/>
      </w:pPr>
      <w:r>
        <w:t xml:space="preserve">structures. </w:t>
      </w:r>
      <w:r>
        <w:rPr>
          <w:b/>
        </w:rPr>
        <w:t>This phase produced two substantive negative results</w:t>
      </w:r>
      <w:r>
        <w:t>, reported in</w:t>
      </w:r>
    </w:p>
    <w:p>
      <w:pPr>
        <w:jc w:val="both"/>
      </w:pPr>
      <w:r>
        <w:t>full in Section 6: the low-rank pair representation cannot be recovered from</w:t>
      </w:r>
    </w:p>
    <w:p>
      <w:pPr>
        <w:jc w:val="both"/>
      </w:pPr>
      <w:r>
        <w:t>pretrained weights at any rank that saves memory, and interface confidence</w:t>
      </w:r>
    </w:p>
    <w:p>
      <w:pPr>
        <w:jc w:val="both"/>
      </w:pPr>
      <w:r>
        <w:t xml:space="preserve">(ipTM) responds largely to peptide </w:t>
      </w:r>
      <w:r>
        <w:rPr>
          <w:b/>
        </w:rPr>
        <w:t>composition</w:t>
      </w:r>
      <w:r>
        <w:t>, ranking a scrambled sequence</w:t>
      </w:r>
    </w:p>
    <w:p>
      <w:pPr>
        <w:jc w:val="both"/>
      </w:pPr>
      <w:r>
        <w:t>as highly as the real binder it was made from, with any sequence-order effect</w:t>
      </w:r>
    </w:p>
    <w:p>
      <w:pPr>
        <w:jc w:val="both"/>
      </w:pPr>
      <w:r>
        <w:t>bounded below the composition effect. The second</w:t>
      </w:r>
    </w:p>
    <w:p>
      <w:pPr>
        <w:jc w:val="both"/>
      </w:pPr>
      <w:r>
        <w:t>finding was established by a power-sized 22-receptor run (132 complexes) whose</w:t>
      </w:r>
    </w:p>
    <w:p>
      <w:pPr>
        <w:jc w:val="both"/>
      </w:pPr>
      <w:r>
        <w:t>headline comparison is statistically significant, whose own scramble control</w:t>
      </w:r>
    </w:p>
    <w:p>
      <w:pPr>
        <w:jc w:val="both"/>
      </w:pPr>
      <w:r>
        <w:t>shows that significance does not mean binding recognition, and whose</w:t>
      </w:r>
    </w:p>
    <w:p>
      <w:pPr>
        <w:jc w:val="both"/>
      </w:pPr>
      <w:r>
        <w:t>reproducibility was then measured directly: a 96-fold replicate study</w:t>
      </w:r>
    </w:p>
    <w:p>
      <w:pPr>
        <w:jc w:val="both"/>
      </w:pPr>
      <w:r>
        <w:t>(Section 6.5) shows that single unseeded folds do not reproduce their own</w:t>
      </w:r>
    </w:p>
    <w:p>
      <w:pPr>
        <w:jc w:val="both"/>
      </w:pPr>
      <w:r>
        <w:t>per-receptor rankings, so the aggregate direction is trustworthy while any</w:t>
      </w:r>
    </w:p>
    <w:p>
      <w:pPr>
        <w:jc w:val="both"/>
      </w:pPr>
      <w:r>
        <w:t>individual verdict is not. Both results are</w:t>
      </w:r>
    </w:p>
    <w:p>
      <w:pPr>
        <w:jc w:val="both"/>
      </w:pPr>
      <w:r>
        <w:t>reported because they redirect the remaining work, and both rest on controls,</w:t>
      </w:r>
    </w:p>
    <w:p>
      <w:pPr>
        <w:jc w:val="both"/>
      </w:pPr>
      <w:r>
        <w:t>held-out splits, and power analysis rather than on single favourable runs.</w:t>
      </w:r>
    </w:p>
    <w:p>
      <w:pPr>
        <w:jc w:val="both"/>
      </w:pPr>
      <w:r>
        <w:t>The engineering results stand: the pipeline is device-agnostic, memory-stable on</w:t>
      </w:r>
    </w:p>
    <w:p>
      <w:pPr>
        <w:jc w:val="both"/>
      </w:pPr>
      <w:r>
        <w:t>Apple Silicon, and now measured end to end against real structures rather than</w:t>
      </w:r>
    </w:p>
    <w:p>
      <w:pPr>
        <w:jc w:val="both"/>
      </w:pPr>
      <w:r>
        <w:t>mock tensors.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Akik Jana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Bangalore</w:t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Dr. Arnab Bandyopadhyay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Hyderabad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/>
    <w:p>
      <w:pPr>
        <w:jc w:val="both"/>
      </w:pPr>
      <w:r>
        <w:t>&lt;div class="sig-col"&gt;</w:t>
      </w:r>
    </w:p>
    <w:p>
      <w:pPr>
        <w:jc w:val="both"/>
      </w:pPr>
      <w:r>
        <w:t>&lt;div class="sig-line"&gt;&lt;/div&gt;</w:t>
      </w:r>
    </w:p>
    <w:p>
      <w:pPr>
        <w:jc w:val="both"/>
      </w:pPr>
      <w:r>
        <w:t>&lt;div class="sig-title"&gt;Signature of the Supervisor&lt;/div&gt;</w:t>
      </w:r>
    </w:p>
    <w:p>
      <w:pPr>
        <w:jc w:val="both"/>
      </w:pPr>
      <w:r>
        <w:t>&lt;div class="sig-field"&gt;</w:t>
      </w:r>
      <w:r>
        <w:rPr>
          <w:b/>
        </w:rPr>
        <w:t>Name:</w:t>
      </w:r>
      <w:r>
        <w:t xml:space="preserve"> Dr. Arnab Bandyopadhyay&lt;/div&gt;</w:t>
      </w:r>
    </w:p>
    <w:p>
      <w:pPr>
        <w:jc w:val="both"/>
      </w:pPr>
      <w:r>
        <w:t>&lt;div class="sig-field"&gt;</w:t>
      </w:r>
      <w:r>
        <w:rPr>
          <w:b/>
        </w:rPr>
        <w:t>Date:</w:t>
      </w:r>
      <w:r>
        <w:t xml:space="preserve"> June 22, 2026&lt;/div&gt;</w:t>
      </w:r>
    </w:p>
    <w:p>
      <w:pPr>
        <w:jc w:val="both"/>
      </w:pPr>
      <w:r>
        <w:t>&lt;div class="sig-field"&gt;</w:t>
      </w:r>
      <w:r>
        <w:rPr>
          <w:b/>
        </w:rPr>
        <w:t>Place:</w:t>
      </w:r>
      <w:r>
        <w:t xml:space="preserve"> Hyderabad&lt;/div&gt;</w:t>
      </w:r>
    </w:p>
    <w:p>
      <w:pPr>
        <w:jc w:val="both"/>
      </w:pPr>
      <w:r>
        <w:t>&lt;/div&gt;</w:t>
      </w:r>
    </w:p>
    <w:p>
      <w:pPr>
        <w:jc w:val="both"/>
      </w:pPr>
      <w:r>
        <w:t>&lt;/div&gt;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Contents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1. MODULES IN BOLTZ-FAST .....................................................................................................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a) Multi-Head Latent Attention (MLA) Cache 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b) Fold-CP Sequence Parallelism 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c) 2D Ring Triangular Multiplication Unit (TMU) ........................................................................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d) Low-Rank Pair Representation (OPM Replacement) [M3] 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e) Classifier-Free Guidance (CFG) Distillation [M4] 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f) Neural Coordinate Refinement [M5] 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g) Speculative Flow Matching Sampler .......................................................................................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h) Reference-Free SimPO Loss Tuning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i) g-DPO Linear Preference Alignment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2. FUNCTIONAL BLOCK DIAGRAM &amp; METHODOLOGY ........................................................... 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3. MAJOR TECHNICAL SPECIFICATIONS &amp; BENCHMARKS ................................................... 10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4. DESIGN CONSIDERATIONS ..................................................................................................... 12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 VERIFICATION &amp; TESTING (M1 &amp; M6) ................................................................................... 13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 MEASURED RESULTS AGAINST PRETRAINED WEIGHTS 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6.1 Low-Rank Pair Representation on Pretrained Weights ...................................................... 15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6.2 Interface Confidence as a Binder-Ranking Reference ....................................................... 16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6.3 Boltz-2 Comparison and a Benchmark Correction ............................................................ 17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6.4 Powered Run: ipTM Tracks Composition, Not Binding ..................................................... 18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6.5 Measurement Reproducibility: Single Folds Do Not Reproduce ....................................... 19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 FUTURE PLAN ............................................................................................................................. 20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8. ABBREVIATIONS ......................................................................................................................... 21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Figures</w:t>
      </w:r>
    </w:p>
    <w:p>
      <w:pPr>
        <w:jc w:val="both"/>
      </w:pPr>
      <w:r>
        <w:t>Figure 1: Core Modules in Boltz-Fast .................................................................................................... 5</w:t>
      </w:r>
    </w:p>
    <w:p>
      <w:pPr>
        <w:jc w:val="both"/>
      </w:pPr>
      <w:r>
        <w:t>Figure 2: C-alpha Backbone 3D Coordinate Plot ................................................................................... 11</w:t>
      </w:r>
    </w:p>
    <w:p>
      <w:pPr>
        <w:jc w:val="both"/>
      </w:pPr>
      <w:r>
        <w:t>Figure 3: Ray-Traced Protein Ribbon Model Rendering ........................................................................ 11</w:t>
      </w:r>
    </w:p>
    <w:p>
      <w:pPr>
        <w:jc w:val="both"/>
      </w:pPr>
      <w:r>
        <w:t>Figure 4: ANE-Accelerated 3D Insulin Backbone Visualization ................................................................ 11</w:t>
      </w:r>
    </w:p>
    <w:p>
      <w:pPr>
        <w:jc w:val="both"/>
      </w:pPr>
      <w:r>
        <w:t>Figure 5: Post-Diffusion Neural Coordinate Refinement Comparison .................................................... 13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Tables</w:t>
      </w:r>
    </w:p>
    <w:p>
      <w:pPr>
        <w:jc w:val="both"/>
      </w:pPr>
      <w:r>
        <w:t>Table 1: Computational Complexity &amp; Scaling Comparison .................................................................. 10</w:t>
      </w:r>
    </w:p>
    <w:p>
      <w:pPr>
        <w:jc w:val="both"/>
      </w:pPr>
      <w:r>
        <w:t>Table 2: Speculative Flow Matching Grid Sweep Data ........................................................................... 10</w:t>
      </w:r>
    </w:p>
    <w:p>
      <w:pPr>
        <w:jc w:val="both"/>
      </w:pPr>
      <w:r>
        <w:t>Table 3: Low-Rank Pair Representation Performance Scaling ............................................................. 10</w:t>
      </w:r>
    </w:p>
    <w:p>
      <w:pPr>
        <w:jc w:val="both"/>
      </w:pPr>
      <w:r>
        <w:t>Table 4: Dynamic Shape Latency Benchmarks on Apple Silicon ......................................................... 11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D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where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L</m:t>
                </m:r>
              </m:e>
              <m:sub>
                <m:r>
                  <m:rPr>
                    <m:nor/>
                    <m:sty m:val="p"/>
                  </m:rPr>
                  <m:t>target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latent</m:t>
                </m:r>
              </m:sub>
            </m:sSub>
          </m:sup>
        </m:sSup>
      </m:oMath>
      <w:r>
        <w:t>. Keys and values are reconstructed dynamically:</w:t>
      </w:r>
    </w:p>
    <w:p>
      <w:pPr>
        <w:jc w:val="both"/>
      </w:pPr>
      <m:oMath>
        <m:r>
          <m:t>K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,</m:t>
        </m:r>
        <m:r>
          <m:t> </m:t>
        </m:r>
        <m:r>
          <m:t>V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U</m:t>
            </m:r>
            <m:r>
              <m:t>V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</w:p>
    <w:p>
      <w:pPr>
        <w:jc w:val="both"/>
      </w:pPr>
      <w:r>
        <w:t xml:space="preserve">This reduces cached state sizes from </w:t>
      </w:r>
      <m:oMath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r>
          <m:t>D</m:t>
        </m:r>
      </m:oMath>
      <w:r>
        <w:t xml:space="preserve"> to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</m:oMath>
      <w:r>
        <w:t xml:space="preserve">, obtaining an </w:t>
      </w:r>
      <w:r>
        <w:rPr>
          <w:b/>
        </w:rPr>
        <w:t>87.5% memory saving</w:t>
      </w:r>
      <w:r>
        <w:t xml:space="preserve"> at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latent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128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 xml:space="preserve">We partition the sequence dimension into shards of size </w:t>
      </w:r>
      <m:oMath>
        <m:r>
          <m:t>N</m:t>
        </m:r>
        <m:r>
          <m:rPr>
            <m:sty m:val="p"/>
          </m:rPr>
          <m:t>/</m:t>
        </m:r>
        <m:r>
          <m:t>P</m:t>
        </m:r>
      </m:oMath>
      <w:r>
        <w:t xml:space="preserve"> across </w:t>
      </w:r>
      <m:oMath>
        <m:r>
          <m:t>P</m:t>
        </m:r>
      </m:oMath>
      <w:r>
        <w:t xml:space="preserve"> GPUs. The ranks compute self-attention locally and pass Key/Value shards along a virtual ring using Online Softmax to maintain exact numerical parity:</w:t>
      </w:r>
    </w:p>
    <w:p>
      <w:pPr>
        <w:jc w:val="both"/>
      </w:pP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old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+</m:t>
        </m:r>
        <m:sSup>
          <m:e>
            <m:r>
              <m:t>e</m:t>
            </m:r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new</m:t>
                </m:r>
              </m:sub>
            </m:sSub>
          </m:sup>
        </m:sSup>
      </m:oMath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 xml:space="preserve">Triangular updates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⋅</m:t>
        </m:r>
        <m:sSub>
          <m:e>
            <m:r>
              <m:t>B</m:t>
            </m:r>
          </m:e>
          <m:sub>
            <m:r>
              <m:t>k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are split over a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grid. Shifting row and column sub-blocks along grid rings reduces local memory footprint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P</m:t>
        </m:r>
        <m:r>
          <m:rPr>
            <m:sty m:val="p"/>
          </m:rPr>
          <m:t>)</m:t>
        </m:r>
      </m:oMath>
      <w:r>
        <w:t>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 xml:space="preserve"> spaces, creating an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  <m:r>
          <m:rPr>
            <m:sty m:val="p"/>
          </m:rPr>
          <m:t>)</m:t>
        </m:r>
      </m:oMath>
      <w:r>
        <w:t xml:space="preserve">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m:oMath>
        <m:sSub>
          <m:e>
            <m:r>
              <m:t>U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</m:sub>
            </m:sSub>
          </m:e>
        </m:nary>
        <m:sSub>
          <m:e>
            <m:r>
              <m:t>Y</m:t>
            </m:r>
          </m:e>
          <m:sub>
            <m:r>
              <m:t>b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,</m:t>
            </m:r>
            <m:r>
              <m:t>r</m:t>
            </m:r>
          </m:sub>
        </m:sSub>
        <m:sSub>
          <m:e>
            <m:r>
              <m:t>W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</w:p>
    <w:p>
      <w:pPr>
        <w:jc w:val="both"/>
      </w:pPr>
      <w:r>
        <w:t xml:space="preserve">where sequence projections </w:t>
      </w:r>
      <m:oMath>
        <m:r>
          <m:t>X</m:t>
        </m:r>
      </m:oMath>
      <w:r>
        <w:t xml:space="preserve"> and </w:t>
      </w:r>
      <m:oMath>
        <m:r>
          <m:t>Y</m:t>
        </m:r>
      </m:oMath>
      <w:r>
        <w:t xml:space="preserve"> have a low rank </w:t>
      </w:r>
      <m:oMath>
        <m:r>
          <m:t>r</m:t>
        </m:r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rPr>
                <m:nor/>
                <m:sty m:val="p"/>
              </m:rPr>
              <m:t>pair</m:t>
            </m:r>
          </m:sub>
        </m:sSub>
      </m:oMath>
      <w:r>
        <w:t>. A custom autograd backward pass computes gradients on-the-fly, bypassing quadratic activation storage and preventing Metal Out-Of-Memory (OOM) errors.</w:t>
      </w:r>
    </w:p>
    <w:p>
      <w:pPr>
        <w:jc w:val="both"/>
      </w:pPr>
      <w:r>
        <w:t>The implementation is numerically verified against the reference OPM and</w:t>
      </w:r>
    </w:p>
    <w:p>
      <w:pPr>
        <w:jc w:val="both"/>
      </w:pPr>
      <w:r>
        <w:t>mutation-tested. Its parameters do not correspond to those of a released</w:t>
      </w:r>
    </w:p>
    <w:p>
      <w:pPr>
        <w:jc w:val="both"/>
      </w:pPr>
      <w:r>
        <w:t xml:space="preserve">checkpoint, so it is selected at runtime by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variable, defaulting to the stock implementation. Section 6.1 reports the</w:t>
      </w:r>
    </w:p>
    <w:p>
      <w:pPr>
        <w:jc w:val="both"/>
      </w:pPr>
      <w:r>
        <w:t>measured limits of substituting it into a pretrained model.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</w:t>
      </w:r>
      <m:oMath>
        <m:r>
          <m:t>s</m:t>
        </m:r>
      </m:oMath>
      <w:r>
        <w:t>:</w:t>
      </w:r>
    </w:p>
    <w:p>
      <w:pPr>
        <w:jc w:val="both"/>
      </w:pP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guided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cond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uncond</m:t>
            </m:r>
          </m:sub>
        </m:sSub>
        <m:r>
          <m:rPr>
            <m:sty m:val="p"/>
          </m:rPr>
          <m:t>)</m:t>
        </m:r>
      </m:oMath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</w:t>
      </w:r>
      <m:oMath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</w:t>
      </w:r>
      <m:oMath>
        <m:r>
          <m:t>K</m:t>
        </m:r>
      </m:oMath>
      <w:r>
        <w:t xml:space="preserve"> lookahead integration steps:</w:t>
      </w:r>
    </w:p>
    <w:p>
      <w:pPr>
        <w:jc w:val="both"/>
      </w:pP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K</m:t>
            </m:r>
          </m:sub>
        </m:sSub>
      </m:oMath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</w:t>
      </w:r>
      <m:oMath>
        <m:r>
          <m:t>ϵ</m:t>
        </m:r>
      </m:oMath>
      <w:r>
        <w:t>:</w:t>
      </w:r>
    </w:p>
    <w:p>
      <w:pPr>
        <w:jc w:val="both"/>
      </w:pP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target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draft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t>ϵ</m:t>
        </m:r>
      </m:oMath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nor/>
                <m:sty m:val="p"/>
              </m:rPr>
              <m:t>SimPO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σ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β</m:t>
                </m:r>
              </m:num>
              <m:den>
                <m:sSub>
                  <m:e>
                    <m:r>
                      <m:t>L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rPr>
                <m:sty m:val="p"/>
              </m:rPr>
              <m:t>log</m:t>
            </m:r>
            <m:sSub>
              <m:e>
                <m:r>
                  <m:t>π</m:t>
                </m:r>
              </m:e>
              <m:sub>
                <m:r>
                  <m:t>θ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γ</m:t>
            </m:r>
          </m:e>
        </m:d>
      </m:oMath>
    </w:p>
    <w:p>
      <w:pPr>
        <w:jc w:val="both"/>
      </w:pPr>
      <w:r>
        <w:t xml:space="preserve">where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and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to linear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where </w:t>
      </w:r>
      <m:oMath>
        <m:r>
          <m:t>M</m:t>
        </m:r>
      </m:oMath>
      <w:r>
        <w:t xml:space="preserve">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2.64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5.60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m:oMath>
              <m:r>
                <m:t>8.27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m:oMath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89.61%</w:t>
            </w:r>
          </w:p>
        </w:tc>
      </w:tr>
    </w:tbl>
    <w:p/>
    <w:p>
      <w:pPr>
        <w:jc w:val="both"/>
      </w:pPr>
      <w:r>
        <w:rPr>
          <w:b/>
        </w:rPr>
        <w:t>Reading Table 3 correctly.</w:t>
      </w:r>
      <w:r>
        <w:t xml:space="preserve"> The final column is not a rounding error: at</w:t>
      </w:r>
    </w:p>
    <w:p>
      <w:pPr>
        <w:jc w:val="both"/>
      </w:pPr>
      <w:r>
        <w:t>rank 16 the low-rank path reproduces roughly a tenth of the full-rank output.</w:t>
      </w:r>
    </w:p>
    <w:p>
      <w:pPr>
        <w:jc w:val="both"/>
      </w:pPr>
      <w:r>
        <w:t>The memory column and the error column describe the same configuration, so the</w:t>
      </w:r>
    </w:p>
    <w:p>
      <w:pPr>
        <w:jc w:val="both"/>
      </w:pPr>
      <w:r>
        <w:t xml:space="preserve">saving factor is only meaningful for a network </w:t>
      </w:r>
      <w:r>
        <w:rPr>
          <w:i/>
        </w:rPr>
        <w:t>trained</w:t>
      </w:r>
      <w:r>
        <w:t xml:space="preserve"> with the low-rank layer</w:t>
      </w:r>
    </w:p>
    <w:p>
      <w:pPr>
        <w:jc w:val="both"/>
      </w:pPr>
      <w:r>
        <w:t>in place, where the layer defines the function rather than approximating an</w:t>
      </w:r>
    </w:p>
    <w:p>
      <w:pPr>
        <w:jc w:val="both"/>
      </w:pPr>
      <w:r>
        <w:t>existing one. Randomly initialised operands make the two paths trivially</w:t>
      </w:r>
    </w:p>
    <w:p>
      <w:pPr>
        <w:jc w:val="both"/>
      </w:pPr>
      <w:r>
        <w:t>separable, which is why this table is reported as a scaling measurement and not</w:t>
      </w:r>
    </w:p>
    <w:p>
      <w:pPr>
        <w:jc w:val="both"/>
      </w:pPr>
      <w:r>
        <w:t>as a drop-in substitution result. Section 6.1 measures what happens when the</w:t>
      </w:r>
    </w:p>
    <w:p>
      <w:pPr>
        <w:jc w:val="both"/>
      </w:pPr>
      <w:r>
        <w:t>substitution is attempted against pretrained weights.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No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</w:t>
      </w:r>
      <m:oMath>
        <m:sSub>
          <m:e>
            <m:r>
              <m:t>C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α</m:t>
            </m:r>
          </m:sub>
        </m:sSub>
      </m:oMath>
      <w:r>
        <w:t xml:space="preserve">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5.1 Subsequent Hardening of the Suite</w:t>
      </w:r>
    </w:p>
    <w:p>
      <w:pPr>
        <w:jc w:val="both"/>
      </w:pPr>
      <w:r>
        <w:t xml:space="preserve">The suite has since grown to </w:t>
      </w:r>
      <w:r>
        <w:rPr>
          <w:b/>
        </w:rPr>
        <w:t>99 tests</w:t>
      </w:r>
      <w:r>
        <w:t>, and two defects in the testing</w:t>
      </w:r>
    </w:p>
    <w:p>
      <w:pPr>
        <w:jc w:val="both"/>
      </w:pPr>
      <w:r>
        <w:t>infrastructure itself were found and corrected.</w:t>
      </w:r>
    </w:p>
    <w:p>
      <w:pPr>
        <w:jc w:val="both"/>
      </w:pPr>
      <w:r>
        <w:rPr>
          <w:b/>
        </w:rPr>
        <w:t>Continuous integration was not running the tests.</w:t>
      </w:r>
      <w:r>
        <w:t xml:space="preserve"> The CI workflow invoked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unittest discover -s tests</w:t>
      </w:r>
      <w:r>
        <w:t xml:space="preserve">, which collected </w:t>
      </w:r>
      <w:r>
        <w:rPr>
          <w:b/>
        </w:rPr>
        <w:t>zero</w:t>
      </w:r>
      <w:r>
        <w:t xml:space="preserve"> tests from a </w:t>
      </w:r>
      <w:r>
        <w:rPr>
          <w:rFonts w:ascii="Courier New" w:hAnsi="Courier New"/>
          <w:sz w:val="19"/>
          <w:shd w:fill="f7fafc"/>
        </w:rPr>
        <w:t>pytest</w:t>
      </w:r>
      <w:r>
        <w:t>-style</w:t>
      </w:r>
    </w:p>
    <w:p>
      <w:pPr>
        <w:jc w:val="both"/>
      </w:pPr>
      <w:r>
        <w:t>suite and therefore reported success unconditionally. CI now runs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python -m pytest -q</w:t>
      </w:r>
      <w:r>
        <w:t xml:space="preserve"> together with a </w:t>
      </w:r>
      <w:r>
        <w:rPr>
          <w:rFonts w:ascii="Courier New" w:hAnsi="Courier New"/>
          <w:sz w:val="19"/>
          <w:shd w:fill="f7fafc"/>
        </w:rPr>
        <w:t>ruff</w:t>
      </w:r>
      <w:r>
        <w:t xml:space="preserve"> lint gate, and test discovery is</w:t>
      </w:r>
    </w:p>
    <w:p>
      <w:pPr>
        <w:jc w:val="both"/>
      </w:pPr>
      <w:r>
        <w:t xml:space="preserve">configured centrally in </w:t>
      </w:r>
      <w:r>
        <w:rPr>
          <w:rFonts w:ascii="Courier New" w:hAnsi="Courier New"/>
          <w:sz w:val="19"/>
          <w:shd w:fill="f7fafc"/>
        </w:rPr>
        <w:t>pyproject.toml</w:t>
      </w:r>
      <w:r>
        <w:t xml:space="preserve"> rather than by </w:t>
      </w:r>
      <w:r>
        <w:rPr>
          <w:rFonts w:ascii="Courier New" w:hAnsi="Courier New"/>
          <w:sz w:val="19"/>
          <w:shd w:fill="f7fafc"/>
        </w:rPr>
        <w:t>sys.path</w:t>
      </w:r>
      <w:r>
        <w:t xml:space="preserve"> manipulation</w:t>
      </w:r>
    </w:p>
    <w:p>
      <w:pPr>
        <w:jc w:val="both"/>
      </w:pPr>
      <w:r>
        <w:t>inside twelve individual test files.</w:t>
      </w:r>
    </w:p>
    <w:p>
      <w:pPr>
        <w:jc w:val="both"/>
      </w:pPr>
      <w:r>
        <w:rPr>
          <w:b/>
        </w:rPr>
        <w:t>An audit of the assertions themselves</w:t>
      </w:r>
      <w:r>
        <w:t xml:space="preserve"> (</w:t>
      </w:r>
      <w:r>
        <w:rPr>
          <w:rFonts w:ascii="Courier New" w:hAnsi="Courier New"/>
          <w:sz w:val="19"/>
          <w:shd w:fill="f7fafc"/>
        </w:rPr>
        <w:t>TEST_AUDIT.md</w:t>
      </w:r>
      <w:r>
        <w:t>) found tests that</w:t>
      </w:r>
    </w:p>
    <w:p>
      <w:pPr>
        <w:jc w:val="both"/>
      </w:pPr>
      <w:r>
        <w:t>could not fail: assertions comparing a value to itself, RMSD thresholds loose</w:t>
      </w:r>
    </w:p>
    <w:p>
      <w:pPr>
        <w:jc w:val="both"/>
      </w:pPr>
      <w:r>
        <w:t>enough to be satisfied by random noise, and six tests that checked only output</w:t>
      </w:r>
    </w:p>
    <w:p>
      <w:pPr>
        <w:jc w:val="both"/>
      </w:pPr>
      <w:r>
        <w:t>tensor shape while asserting nothing about output values. These were tightened.</w:t>
      </w:r>
    </w:p>
    <w:p>
      <w:pPr>
        <w:jc w:val="both"/>
      </w:pPr>
      <w:r>
        <w:t>The same audit found that the lightweight surrogate predictor emits C-alpha</w:t>
      </w:r>
    </w:p>
    <w:p>
      <w:pPr>
        <w:jc w:val="both"/>
      </w:pPr>
      <w:r>
        <w:t>traces with ~0.56 Å adjacent spacing against a physical value of 3.80 Å,</w:t>
      </w:r>
    </w:p>
    <w:p>
      <w:pPr>
        <w:jc w:val="both"/>
      </w:pPr>
      <w:r>
        <w:t>recorded as a known limitation of the surrogate rather than silently corrected.</w:t>
      </w:r>
    </w:p>
    <w:p>
      <w:pPr>
        <w:jc w:val="both"/>
      </w:pPr>
      <w:r>
        <w:t>The corrections matter for the interpretation of M6: a 100% pass rate against a</w:t>
      </w:r>
    </w:p>
    <w:p>
      <w:pPr>
        <w:jc w:val="both"/>
      </w:pPr>
      <w:r>
        <w:t>suite that was partly unfailable is weaker evidence than the same rate against</w:t>
      </w:r>
    </w:p>
    <w:p>
      <w:pPr>
        <w:jc w:val="both"/>
      </w:pPr>
      <w:r>
        <w:t>the audited suite, and the latter is what the current 99 tests provide.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jc w:val="both"/>
      </w:pPr>
      <w:r>
        <w:t xml:space="preserve">The coordinate refiner successfully resolved simulated clashes (Figure 5, right) and adjusted C-alpha bond lengths to </w:t>
      </w:r>
      <m:oMath>
        <m:r>
          <m:rPr>
            <m:sty m:val="p"/>
          </m:rPr>
          <m:t>≤</m:t>
        </m:r>
        <m:r>
          <m:t>1.0</m:t>
        </m:r>
      </m:oMath>
      <w:r>
        <w:t xml:space="preserve">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MEASURED RESULTS AGAINST PRETRAINED WEIGHTS</w:t>
      </w:r>
    </w:p>
    <w:p>
      <w:pPr>
        <w:jc w:val="both"/>
      </w:pPr>
      <w:r>
        <w:t>Sections 3 and 5 report component behaviour against mock tensors. This section</w:t>
      </w:r>
    </w:p>
    <w:p>
      <w:pPr>
        <w:jc w:val="both"/>
      </w:pPr>
      <w:r>
        <w:t>reports what the components do against pretrained Boltz checkpoints and</w:t>
      </w:r>
    </w:p>
    <w:p>
      <w:pPr>
        <w:jc w:val="both"/>
      </w:pPr>
      <w:r>
        <w:t>experimentally determined structures. Two questions were pursued to a</w:t>
      </w:r>
    </w:p>
    <w:p>
      <w:pPr>
        <w:jc w:val="both"/>
      </w:pPr>
      <w:r>
        <w:t>conclusion, and both answers are negative.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6.1 The Low-Rank Pair Representation Is Not Reachable on Pretrained Weights</w:t>
      </w:r>
    </w:p>
    <w:p>
      <w:pPr>
        <w:jc w:val="both"/>
      </w:pPr>
      <w:r>
        <w:t>The low-rank OuterProductMean (OPM) is the project's strongest technical asset:</w:t>
      </w:r>
    </w:p>
    <w:p>
      <w:pPr>
        <w:jc w:val="both"/>
      </w:pPr>
      <w:r>
        <w:t>it is numerically verified against the reference implementation and</w:t>
      </w:r>
    </w:p>
    <w:p>
      <w:pPr>
        <w:jc w:val="both"/>
      </w:pPr>
      <w:r>
        <w:t>mutation-tested. Its parameters (</w:t>
      </w:r>
      <w:r>
        <w:rPr>
          <w:rFonts w:ascii="Courier New" w:hAnsi="Courier New"/>
          <w:sz w:val="19"/>
          <w:shd w:fill="f7fafc"/>
        </w:rPr>
        <w:t>low_rank_updater.W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proj_x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proj_y</w:t>
      </w:r>
      <w:r>
        <w:t>) do</w:t>
      </w:r>
    </w:p>
    <w:p>
      <w:pPr>
        <w:jc w:val="both"/>
      </w:pPr>
      <w:r>
        <w:t>not correspond to those of a stock checkpoint (</w:t>
      </w:r>
      <w:r>
        <w:rPr>
          <w:rFonts w:ascii="Courier New" w:hAnsi="Courier New"/>
          <w:sz w:val="19"/>
          <w:shd w:fill="f7fafc"/>
        </w:rPr>
        <w:t>proj_a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proj_b</w:t>
      </w:r>
      <w:r>
        <w:t xml:space="preserve">, </w:t>
      </w:r>
      <w:r>
        <w:rPr>
          <w:rFonts w:ascii="Courier New" w:hAnsi="Courier New"/>
          <w:sz w:val="19"/>
          <w:shd w:fill="f7fafc"/>
        </w:rPr>
        <w:t>proj_o</w:t>
      </w:r>
      <w:r>
        <w:t>), so</w:t>
      </w:r>
    </w:p>
    <w:p>
      <w:pPr>
        <w:jc w:val="both"/>
      </w:pPr>
      <w:r>
        <w:t>it had only ever been usable by training from scratch. Whether the ~97%</w:t>
      </w:r>
    </w:p>
    <w:p>
      <w:pPr>
        <w:jc w:val="both"/>
      </w:pPr>
      <w:r>
        <w:t>activation saving could be obtained on released weights was tested in three</w:t>
      </w:r>
    </w:p>
    <w:p>
      <w:pPr>
        <w:jc w:val="both"/>
      </w:pPr>
      <w:r>
        <w:t>experiments, each stricter than the last.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Experiment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What it measures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Held-out error @ rank 32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CP projection of weights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tensor approximation, random inputs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0.77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Fit on one target's activations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function approximation, one protein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0.43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Corpus distillation, 33 folds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function approximation, at capacity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0.378</w:t>
            </w:r>
          </w:p>
        </w:tc>
      </w:tr>
    </w:tbl>
    <w:p/>
    <w:p>
      <w:pPr>
        <w:jc w:val="both"/>
      </w:pPr>
      <w:r>
        <w:t>Each step was a genuine improvement, and the first two were initially stated</w:t>
      </w:r>
    </w:p>
    <w:p>
      <w:pPr>
        <w:jc w:val="both"/>
      </w:pPr>
      <w:r>
        <w:t>more strongly than the evidence supported: the CP result measured the weight</w:t>
      </w:r>
    </w:p>
    <w:p>
      <w:pPr>
        <w:jc w:val="both"/>
      </w:pPr>
      <w:r>
        <w:t xml:space="preserve">tensor under </w:t>
      </w:r>
      <w:r>
        <w:rPr>
          <w:rFonts w:ascii="Courier New" w:hAnsi="Courier New"/>
          <w:sz w:val="19"/>
          <w:shd w:fill="f7fafc"/>
        </w:rPr>
        <w:t>torch.randn</w:t>
      </w:r>
      <w:r>
        <w:t xml:space="preserve"> inputs, and the single-target fit measured the</w:t>
      </w:r>
    </w:p>
    <w:p>
      <w:pPr>
        <w:jc w:val="both"/>
      </w:pPr>
      <w:r>
        <w:t>function on one protein only.</w:t>
      </w:r>
    </w:p>
    <w:p>
      <w:pPr>
        <w:jc w:val="both"/>
      </w:pPr>
      <w:r>
        <w:rPr>
          <w:b/>
        </w:rPr>
        <w:t>What settles the question is that train and held-out error coincide</w:t>
      </w:r>
    </w:p>
    <w:p>
      <w:pPr>
        <w:jc w:val="both"/>
      </w:pPr>
      <w:r>
        <w:t>(0.375 / 0.378 at rank 32, against a 0.08 gap for the single-target fit). The</w:t>
      </w:r>
    </w:p>
    <w:p>
      <w:pPr>
        <w:jc w:val="both"/>
      </w:pPr>
      <w:r>
        <w:t>factors genuinely are shared across receptors rather than memorised, so</w:t>
      </w:r>
    </w:p>
    <w:p>
      <w:pPr>
        <w:jc w:val="both"/>
      </w:pPr>
      <w:r>
        <w:t>generalisation is solved — but coincident train and held-out error is the</w:t>
      </w:r>
    </w:p>
    <w:p>
      <w:pPr>
        <w:jc w:val="both"/>
      </w:pPr>
      <w:r>
        <w:t>signature of a model at capacity, and more folding data will not lower the</w:t>
      </w:r>
    </w:p>
    <w:p>
      <w:pPr>
        <w:jc w:val="both"/>
      </w:pPr>
      <w:r>
        <w:t>floor.</w:t>
      </w:r>
    </w:p>
    <w:p>
      <w:pPr>
        <w:jc w:val="both"/>
      </w:pPr>
      <w:r>
        <w:rPr>
          <w:b/>
        </w:rPr>
        <w:t>Rank cannot recover the fidelity.</w:t>
      </w:r>
      <w:r>
        <w:t xml:space="preserve"> Fitting </w:t>
      </w:r>
      <w:r>
        <w:rPr>
          <w:rFonts w:ascii="Courier New" w:hAnsi="Courier New"/>
          <w:sz w:val="19"/>
          <w:shd w:fill="f7fafc"/>
        </w:rPr>
        <w:t>err = a·rank^b</w:t>
      </w:r>
      <w:r>
        <w:t xml:space="preserve"> to held-out</w:t>
      </w:r>
    </w:p>
    <w:p>
      <w:pPr>
        <w:jc w:val="both"/>
      </w:pPr>
      <w:r>
        <w:t xml:space="preserve">points gives </w:t>
      </w:r>
      <w:r>
        <w:rPr>
          <w:rFonts w:ascii="Courier New" w:hAnsi="Courier New"/>
          <w:sz w:val="19"/>
          <w:shd w:fill="f7fafc"/>
        </w:rPr>
        <w:t>1.32·rank^−0.356</w:t>
      </w:r>
      <w:r>
        <w:t xml:space="preserve"> and </w:t>
      </w:r>
      <w:r>
        <w:rPr>
          <w:rFonts w:ascii="Courier New" w:hAnsi="Courier New"/>
          <w:sz w:val="19"/>
          <w:shd w:fill="f7fafc"/>
        </w:rPr>
        <w:t>1.75·rank^−0.312</w:t>
      </w:r>
      <w:r>
        <w:t xml:space="preserve"> for the two layers.</w:t>
      </w:r>
    </w:p>
    <w:p>
      <w:pPr>
        <w:jc w:val="both"/>
      </w:pPr>
      <w:r>
        <w:t>Reaching 10% error requires rank ≈ 1,414 and ≈ 9,750 respectively, against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c_hidden² = 1024</w:t>
      </w:r>
      <w:r>
        <w:t xml:space="preserve"> — the width the stock implementation actually materialises.</w:t>
      </w:r>
    </w:p>
    <w:p>
      <w:pPr>
        <w:jc w:val="both"/>
      </w:pPr>
      <w:r>
        <w:rPr>
          <w:b/>
        </w:rPr>
      </w:r>
      <w:r>
        <w:t>The low-rank form therefore costs more activation memory than stock before it</w:t>
      </w:r>
    </w:p>
    <w:p>
      <w:pPr>
        <w:jc w:val="both"/>
      </w:pPr>
      <w:r>
        <w:t>becomes accurate enough to substitute.</w:t>
      </w:r>
      <w:r>
        <w:rPr>
          <w:b/>
        </w:rPr>
      </w:r>
      <w:r>
        <w:t xml:space="preserve"> The usable regime is 23–38% per-layer</w:t>
      </w:r>
    </w:p>
    <w:p>
      <w:pPr>
        <w:jc w:val="both"/>
      </w:pPr>
      <w:r>
        <w:t>error at 3–13% of stock activations: a large saving at an error that compounds</w:t>
      </w:r>
    </w:p>
    <w:p>
      <w:pPr>
        <w:jc w:val="both"/>
      </w:pPr>
      <w:r>
        <w:t>across the MSA stack.</w:t>
      </w:r>
    </w:p>
    <w:p>
      <w:pPr>
        <w:jc w:val="both"/>
      </w:pPr>
      <w:r>
        <w:t>Controls confirm the negative is a property of the weights rather than of the</w:t>
      </w:r>
    </w:p>
    <w:p>
      <w:pPr>
        <w:jc w:val="both"/>
      </w:pPr>
      <w:r>
        <w:t>solver: an exactly-rank-32 tensor decomposes to 0.00000 error, a random dense</w:t>
      </w:r>
    </w:p>
    <w:p>
      <w:pPr>
        <w:jc w:val="both"/>
      </w:pPr>
      <w:r>
        <w:t>tensor to 0.947, and the trained tensor to 0.831 — only marginally more</w:t>
      </w:r>
    </w:p>
    <w:p>
      <w:pPr>
        <w:jc w:val="both"/>
      </w:pPr>
      <w:r>
        <w:t>compressible than noise.</w:t>
      </w:r>
    </w:p>
    <w:p>
      <w:pPr>
        <w:jc w:val="both"/>
      </w:pPr>
      <w:r>
        <w:rPr>
          <w:b/>
        </w:rPr>
        <w:t>Consequence for M3.</w:t>
      </w:r>
      <w:r>
        <w:t xml:space="preserve"> The 1502x figure in Table 3 stands as a scaling</w:t>
      </w:r>
    </w:p>
    <w:p>
      <w:pPr>
        <w:jc w:val="both"/>
      </w:pPr>
      <w:r>
        <w:t>measurement for a network trained around the low-rank layer. Obtaining it on</w:t>
      </w:r>
    </w:p>
    <w:p>
      <w:pPr>
        <w:jc w:val="both"/>
      </w:pPr>
      <w:r>
        <w:t>pretrained weights would require retraining the full model — a frontier-scale</w:t>
      </w:r>
    </w:p>
    <w:p>
      <w:pPr>
        <w:jc w:val="both"/>
      </w:pPr>
      <w:r>
        <w:t xml:space="preserve">run outside the scope of this dissertation. The </w:t>
      </w:r>
      <w:r>
        <w:rPr>
          <w:rFonts w:ascii="Courier New" w:hAnsi="Courier New"/>
          <w:sz w:val="19"/>
          <w:shd w:fill="f7fafc"/>
        </w:rPr>
        <w:t>BOLTZMAC_OPM</w:t>
      </w:r>
      <w:r>
        <w:t xml:space="preserve"> environment</w:t>
      </w:r>
    </w:p>
    <w:p>
      <w:pPr>
        <w:jc w:val="both"/>
      </w:pPr>
      <w:r>
        <w:t>toggle keeps both implementations selectable so the layer remains available for</w:t>
      </w:r>
    </w:p>
    <w:p>
      <w:pPr>
        <w:jc w:val="both"/>
      </w:pPr>
      <w:r>
        <w:t>that work.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6.2 Interface Confidence Does Not Rank Peptide Binders</w:t>
      </w:r>
    </w:p>
    <w:p>
      <w:pPr>
        <w:jc w:val="both"/>
      </w:pPr>
      <w:r>
        <w:t>The binder design objective requires a scoring signal to rank candidates.</w:t>
      </w:r>
    </w:p>
    <w:p>
      <w:pPr>
        <w:jc w:val="both"/>
      </w:pPr>
      <w:r>
        <w:t>Boltz's interface confidence (ipTM) was evaluated as that reference against</w:t>
      </w:r>
    </w:p>
    <w:p>
      <w:pPr>
        <w:jc w:val="both"/>
      </w:pPr>
      <w:r>
        <w:rPr>
          <w:b/>
        </w:rPr>
        <w:t>11 experimentally determined peptide–domain complexes</w:t>
      </w:r>
      <w:r>
        <w:t xml:space="preserve"> from the PDB</w:t>
      </w:r>
    </w:p>
    <w:p>
      <w:pPr>
        <w:jc w:val="both"/>
      </w:pPr>
      <w:r>
        <w:t>(MDM2/p53, SH3/proline-rich, PDZ/C-terminal and others; sequences fetched</w:t>
      </w:r>
    </w:p>
    <w:p>
      <w:pPr>
        <w:jc w:val="both"/>
      </w:pPr>
      <w:r>
        <w:t>programmatically from RCSB, never transcribed). Three classes were folded</w:t>
      </w:r>
    </w:p>
    <w:p>
      <w:pPr>
        <w:jc w:val="both"/>
      </w:pPr>
      <w:r>
        <w:t xml:space="preserve">identically: </w:t>
      </w:r>
      <w:r>
        <w:rPr>
          <w:b/>
        </w:rPr>
        <w:t>cognate</w:t>
      </w:r>
      <w:r>
        <w:t xml:space="preserve"> (receptor with its own peptide), </w:t>
      </w:r>
      <w:r>
        <w:rPr>
          <w:b/>
        </w:rPr>
        <w:t>decoy</w:t>
      </w:r>
      <w:r>
        <w:t xml:space="preserve"> (receptor</w:t>
      </w:r>
    </w:p>
    <w:p>
      <w:pPr>
        <w:jc w:val="both"/>
      </w:pPr>
      <w:r>
        <w:t>with a genuine peptide from a different complex — the strongest negative, since</w:t>
      </w:r>
    </w:p>
    <w:p>
      <w:pPr>
        <w:jc w:val="both"/>
      </w:pPr>
      <w:r>
        <w:t xml:space="preserve">screening is exactly this discrimination), and </w:t>
      </w:r>
      <w:r>
        <w:rPr>
          <w:b/>
        </w:rPr>
        <w:t>scrambled</w:t>
      </w:r>
      <w:r>
        <w:t xml:space="preserve"> (own peptide,</w:t>
      </w:r>
    </w:p>
    <w:p>
      <w:pPr>
        <w:jc w:val="both"/>
      </w:pPr>
      <w:r>
        <w:t>order destroyed).</w:t>
      </w:r>
    </w:p>
    <w:p>
      <w:pPr>
        <w:jc w:val="both"/>
      </w:pPr>
      <w:r>
        <w:t xml:space="preserve">ipTM has </w:t>
      </w:r>
      <w:r>
        <w:rPr>
          <w:b/>
        </w:rPr>
        <w:t>sensitivity</w:t>
      </w:r>
      <w:r>
        <w:t>: real complexes score far above the synthetic peptides</w:t>
      </w:r>
    </w:p>
    <w:p>
      <w:pPr>
        <w:jc w:val="both"/>
      </w:pPr>
      <w:r>
        <w:t>used in earlier runs (0.1915 vs 0.0905, AUC 0.881, p = 1e-5). It does not have</w:t>
      </w:r>
    </w:p>
    <w:p>
      <w:pPr>
        <w:jc w:val="both"/>
      </w:pPr>
      <w:r>
        <w:rPr>
          <w:b/>
        </w:rPr>
        <w:t>specificity</w:t>
      </w:r>
      <w:r>
        <w:t>. Ranking each receptor's own candidates against one another —</w:t>
      </w:r>
    </w:p>
    <w:p>
      <w:pPr>
        <w:jc w:val="both"/>
      </w:pPr>
      <w:r>
        <w:t>which is what screening does — is at chance: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cognate ranked #1 for 2/11 receptors    (chance = 1.8)</w:t>
              <w:br/>
              <w:t>mean rank 3.27 of 6                     (chance = 3.50)</w:t>
              <w:br/>
              <w:t>Wilcoxon vs chance:  p = 0.746</w:t>
            </w:r>
          </w:p>
        </w:tc>
      </w:tr>
    </w:tbl>
    <w:p/>
    <w:p>
      <w:pPr>
        <w:jc w:val="both"/>
      </w:pPr>
      <w:r>
        <w:t>A surrogate distilled from a reference that cannot rank binders cannot rank them</w:t>
      </w:r>
    </w:p>
    <w:p>
      <w:pPr>
        <w:jc w:val="both"/>
      </w:pPr>
      <w:r>
        <w:t>either, and this was confirmed directly: on n = 85 held-out complexes the</w:t>
      </w:r>
    </w:p>
    <w:p>
      <w:pPr>
        <w:jc w:val="both"/>
      </w:pPr>
      <w:r>
        <w:t xml:space="preserve">distilled surrogate achieved Spearman ρ = −0.034, while a </w:t>
      </w:r>
      <w:r>
        <w:rPr>
          <w:b/>
        </w:rPr>
      </w:r>
      <w:r>
        <w:t>ridge regression on</w:t>
      </w:r>
    </w:p>
    <w:p>
      <w:pPr>
        <w:jc w:val="both"/>
      </w:pPr>
      <w:r>
        <w:t>additive amino-acid composition scored +0.103</w:t>
      </w:r>
      <w:r>
        <w:rPr>
          <w:b/>
        </w:rPr>
      </w:r>
      <w:r>
        <w:t xml:space="preserve"> (z = 3.44 against the neural</w:t>
      </w:r>
    </w:p>
    <w:p>
      <w:pPr>
        <w:jc w:val="both"/>
      </w:pPr>
      <w:r>
        <w:t>model). An earlier ρ = +0.308 at n = 13 did not survive the larger sample and is</w:t>
      </w:r>
    </w:p>
    <w:p>
      <w:pPr>
        <w:jc w:val="both"/>
      </w:pPr>
      <w:r>
        <w:t>recorded here as a sampling artefact rather than as a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6.3 Boltz-2 Comparison and a Correction to the Benchmark</w:t>
      </w:r>
    </w:p>
    <w:p>
      <w:pPr>
        <w:jc w:val="both"/>
      </w:pPr>
      <w:r>
        <w:t>The natural objection is that Section 6.2 indicts Boltz-1 rather than ipTM. The</w:t>
      </w:r>
    </w:p>
    <w:p>
      <w:pPr>
        <w:jc w:val="both"/>
      </w:pPr>
      <w:r>
        <w:t>identical 66 pairs were therefore re-folded under Boltz-2 with identical seeds</w:t>
      </w:r>
    </w:p>
    <w:p>
      <w:pPr>
        <w:jc w:val="both"/>
      </w:pPr>
      <w:r>
        <w:t>and byte-identical cached alignments, leaving the checkpoint as the only</w:t>
      </w:r>
    </w:p>
    <w:p>
      <w:pPr>
        <w:jc w:val="both"/>
      </w:pPr>
      <w:r>
        <w:t>variable. Every score rises by roughly 2.8x, and the classes rise together: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cognate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decoy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scrambled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Boltz-1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0.1915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0.1684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0.1758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Boltz-2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0.5355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0.4556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0.4662</w:t>
            </w:r>
          </w:p>
        </w:tc>
      </w:tr>
    </w:tbl>
    <w:p/>
    <w:p>
      <w:pPr>
        <w:jc w:val="both"/>
      </w:pPr>
      <w:r>
        <w:t>Boltz-2 improves the screening metric in every direction — cognate first for</w:t>
      </w:r>
    </w:p>
    <w:p>
      <w:pPr>
        <w:jc w:val="both"/>
      </w:pPr>
      <w:r>
        <w:t>3/11 receptors, mean rank 2.55 of 6 — but does not establish specificity at</w:t>
      </w:r>
    </w:p>
    <w:p>
      <w:pPr>
        <w:jc w:val="both"/>
      </w:pPr>
      <w:r>
        <w:t>n = 11 (Wilcoxon p = 0.094 two-sided; bootstrap 95% CI on the mean rank</w:t>
      </w:r>
    </w:p>
    <w:p>
      <w:pPr>
        <w:jc w:val="both"/>
      </w:pPr>
      <w:r>
        <w:t>[1.36, 2.55] contains chance). The paired improvement over Boltz-1 is +0.45</w:t>
      </w:r>
    </w:p>
    <w:p>
      <w:pPr>
        <w:jc w:val="both"/>
      </w:pPr>
      <w:r>
        <w:t>ranks with 95% CI [−0.36, +1.18], which contains zero.</w:t>
      </w:r>
    </w:p>
    <w:p>
      <w:pPr>
        <w:jc w:val="both"/>
      </w:pPr>
      <w:r>
        <w:t>A pooled cognate-versus-decoy test appears to pass (AUC 0.689, p = 0.033) and is</w:t>
      </w:r>
    </w:p>
    <w:p>
      <w:pPr>
        <w:jc w:val="both"/>
      </w:pPr>
      <w:r>
        <w:rPr>
          <w:b/>
        </w:rPr>
        <w:t>not</w:t>
      </w:r>
      <w:r>
        <w:t xml:space="preserve"> relied upon: it is confounded by receptor identity, and it is</w:t>
      </w:r>
    </w:p>
    <w:p>
      <w:pPr>
        <w:jc w:val="both"/>
      </w:pPr>
      <w:r>
        <w:t xml:space="preserve">inconsistent with the observation that </w:t>
      </w:r>
      <w:r>
        <w:rPr>
          <w:b/>
        </w:rPr>
      </w:r>
      <w:r>
        <w:t>decoys and scrambles are</w:t>
      </w:r>
    </w:p>
    <w:p>
      <w:pPr>
        <w:jc w:val="both"/>
      </w:pPr>
      <w:r>
        <w:t>indistinguishable under Boltz-2 (AUC 0.501, p = 0.993)</w:t>
      </w:r>
      <w:r>
        <w:rPr>
          <w:b/>
        </w:rPr>
      </w:r>
      <w:r>
        <w:t>. A signal that cannot</w:t>
      </w:r>
    </w:p>
    <w:p>
      <w:pPr>
        <w:jc w:val="both"/>
      </w:pPr>
      <w:r>
        <w:t>separate a genuine binder from a sequence-order scramble is not recognising</w:t>
      </w:r>
    </w:p>
    <w:p>
      <w:pPr>
        <w:jc w:val="both"/>
      </w:pPr>
      <w:r>
        <w:t>binders.</w:t>
      </w:r>
    </w:p>
    <w:p>
      <w:pPr>
        <w:jc w:val="both"/>
      </w:pPr>
      <w:r>
        <w:rPr>
          <w:b/>
        </w:rPr>
        <w:t>A labelling defect was found and corrected.</w:t>
      </w:r>
      <w:r>
        <w:t xml:space="preserve"> RCSB's FASTA endpoint returns</w:t>
      </w:r>
    </w:p>
    <w:p>
      <w:pPr>
        <w:jc w:val="both"/>
      </w:pPr>
      <w:r>
        <w:rPr>
          <w:i/>
        </w:rPr>
        <w:t>canonical</w:t>
      </w:r>
      <w:r>
        <w:t xml:space="preserve"> sequence, so phosphoserine reads as S, phosphotyrosine as Y and</w:t>
      </w:r>
    </w:p>
    <w:p>
      <w:pPr>
        <w:jc w:val="both"/>
      </w:pPr>
      <w:r>
        <w:t xml:space="preserve">acetyl-lysine as K. For complexes whose interaction </w:t>
      </w:r>
      <w:r>
        <w:rPr>
          <w:i/>
        </w:rPr>
        <w:t>is</w:t>
      </w:r>
      <w:r>
        <w:t xml:space="preserve"> the modification — an</w:t>
      </w:r>
    </w:p>
    <w:p>
      <w:pPr>
        <w:jc w:val="both"/>
      </w:pPr>
      <w:r>
        <w:t>SH2 domain reading phosphotyrosine, a bromodomain reading acetyl-lysine — the</w:t>
      </w:r>
    </w:p>
    <w:p>
      <w:pPr>
        <w:jc w:val="both"/>
      </w:pPr>
      <w:r>
        <w:t>folded "cognate" pair is not binding-competent, making it a mislabelled</w:t>
      </w:r>
    </w:p>
    <w:p>
      <w:pPr>
        <w:jc w:val="both"/>
      </w:pPr>
      <w:r>
        <w:t xml:space="preserve">positive. An audit against </w:t>
      </w:r>
      <w:r>
        <w:rPr>
          <w:rFonts w:ascii="Courier New" w:hAnsi="Courier New"/>
          <w:sz w:val="19"/>
          <w:shd w:fill="f7fafc"/>
        </w:rPr>
        <w:t>entity_poly.pdbx_seq_one_letter_code</w:t>
      </w:r>
      <w:r>
        <w:t>, which</w:t>
      </w:r>
    </w:p>
    <w:p>
      <w:pPr>
        <w:jc w:val="both"/>
      </w:pPr>
      <w:r>
        <w:t xml:space="preserve">preserves modified residues, found </w:t>
      </w:r>
      <w:r>
        <w:rPr>
          <w:b/>
        </w:rPr>
      </w:r>
      <w:r>
        <w:t>7 of 25 candidate receptors PTM-dependent,</w:t>
      </w:r>
    </w:p>
    <w:p>
      <w:pPr>
        <w:jc w:val="both"/>
      </w:pPr>
      <w:r>
        <w:t>including 1I8H from the original panel</w:t>
      </w:r>
      <w:r>
        <w:rPr>
          <w:b/>
        </w:rPr>
      </w:r>
      <w:r>
        <w:t xml:space="preserve"> — precisely the receptor whose true</w:t>
      </w:r>
    </w:p>
    <w:p>
      <w:pPr>
        <w:jc w:val="both"/>
      </w:pPr>
      <w:r>
        <w:t>binder ranked last of six under Boltz-1. Ranking a non-binder last is correct</w:t>
      </w:r>
    </w:p>
    <w:p>
      <w:pPr>
        <w:jc w:val="both"/>
      </w:pPr>
      <w:r>
        <w:t>behaviour, not a failure of the metric.</w:t>
      </w:r>
    </w:p>
    <w:p>
      <w:pPr>
        <w:jc w:val="both"/>
      </w:pPr>
      <w:r>
        <w:t>Re-analysis without 1I8H does not change any conclusion (Boltz-1 p 0.790 →</w:t>
      </w:r>
    </w:p>
    <w:p>
      <w:pPr>
        <w:jc w:val="both"/>
      </w:pPr>
      <w:r>
        <w:t>0.463; Boltz-2 p 0.094 → 0.131, both still non-significant), so this corrects</w:t>
      </w:r>
    </w:p>
    <w:p>
      <w:pPr>
        <w:jc w:val="both"/>
      </w:pPr>
      <w:r>
        <w:t>the method rather than the result.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6.4 Powered Run: ipTM Tracks Composition, Not Binding</w:t>
      </w:r>
    </w:p>
    <w:p>
      <w:pPr>
        <w:jc w:val="both"/>
      </w:pPr>
      <w:r>
        <w:t>The n = 11 result was underpowered rather than decisive, so a PTM-clean,</w:t>
      </w:r>
    </w:p>
    <w:p>
      <w:pPr>
        <w:jc w:val="both"/>
      </w:pPr>
      <w:r>
        <w:t xml:space="preserve">tag-free, peptide-deduplicated panel of </w:t>
      </w:r>
      <w:r>
        <w:rPr>
          <w:b/>
        </w:rPr>
        <w:t>22 receptors (132 complexes)</w:t>
      </w:r>
      <w:r>
        <w:t xml:space="preserve"> was</w:t>
      </w:r>
    </w:p>
    <w:p>
      <w:pPr>
        <w:jc w:val="both"/>
      </w:pPr>
      <w:r>
        <w:t>assembled programmatically and folded under Boltz-2 — 80% power on the</w:t>
      </w:r>
    </w:p>
    <w:p>
      <w:pPr>
        <w:jc w:val="both"/>
      </w:pPr>
      <w:r>
        <w:t>specificity test requires 21 receptors at dz = 0.57.</w:t>
      </w:r>
    </w:p>
    <w:p>
      <w:pPr>
        <w:jc w:val="both"/>
      </w:pPr>
      <w:r>
        <w:rPr>
          <w:b/>
        </w:rPr>
        <w:t>The specificity test passes.</w:t>
      </w:r>
      <w:r>
        <w:t xml:space="preserve"> Against decoys, the cognate reaches mean rank</w:t>
      </w:r>
    </w:p>
    <w:p>
      <w:pPr>
        <w:jc w:val="both"/>
      </w:pPr>
      <w:r>
        <w:rPr>
          <w:b/>
        </w:rPr>
        <w:t>2.00 against a chance value of 2.50</w:t>
      </w:r>
      <w:r>
        <w:t xml:space="preserve"> (first for 8 of 22 receptors,</w:t>
      </w:r>
    </w:p>
    <w:p>
      <w:pPr>
        <w:jc w:val="both"/>
      </w:pPr>
      <w:r>
        <w:t xml:space="preserve">p = 0.034 two-sided), with a bootstrap 95% CI of </w:t>
      </w:r>
      <w:r>
        <w:rPr>
          <w:b/>
        </w:rPr>
        <w:t>[1.59, 2.41]</w:t>
      </w:r>
      <w:r>
        <w:t xml:space="preserve"> that excludes</w:t>
      </w:r>
    </w:p>
    <w:p>
      <w:pPr>
        <w:jc w:val="both"/>
      </w:pPr>
      <w:r>
        <w:t>chance. Taken alone this reverses the n = 11 conclusion.</w:t>
      </w:r>
    </w:p>
    <w:p>
      <w:pPr>
        <w:jc w:val="both"/>
      </w:pPr>
      <w:r>
        <w:rPr>
          <w:b/>
        </w:rPr>
        <w:t>The scramble control refutes the binding interpretation.</w:t>
      </w:r>
      <w:r>
        <w:t xml:space="preserve"> A scramble</w:t>
      </w:r>
    </w:p>
    <w:p>
      <w:pPr>
        <w:jc w:val="both"/>
      </w:pPr>
      <w:r>
        <w:t>preserves amino-acid composition and length exactly and destroys only sequence</w:t>
      </w:r>
    </w:p>
    <w:p>
      <w:pPr>
        <w:jc w:val="both"/>
      </w:pPr>
      <w:r>
        <w:t>order — and order is what makes a binder a binder.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class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n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mean ipTM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cognate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0.5015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scrambled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0.4888</w:t>
            </w:r>
          </w:p>
        </w:tc>
      </w:tr>
      <w:tr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decoy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30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0.4317</w:t>
            </w:r>
          </w:p>
        </w:tc>
      </w:tr>
    </w:tbl>
    <w:p/>
    <w:p>
      <w:pPr>
        <w:jc w:val="both"/>
      </w:pPr>
      <w:r>
        <w:t>Cognates do not measurably beat their own scrambles (mean difference +0.0128,</w:t>
      </w:r>
    </w:p>
    <w:p>
      <w:pPr>
        <w:jc w:val="both"/>
      </w:pPr>
      <w:r>
        <w:t xml:space="preserve">95% CI [−0.019, +0.044], n = 44), and </w:t>
      </w:r>
      <w:r>
        <w:rPr>
          <w:b/>
        </w:rPr>
        <w:t>scrambles outscore decoys</w:t>
      </w:r>
      <w:r>
        <w:t xml:space="preserve"> (AUC 0.632,</w:t>
      </w:r>
    </w:p>
    <w:p>
      <w:pPr>
        <w:jc w:val="both"/>
      </w:pPr>
      <w:r>
        <w:t>p = 0.0096). The variable separating cognate from decoy is therefore largely the</w:t>
      </w:r>
    </w:p>
    <w:p>
      <w:pPr>
        <w:jc w:val="both"/>
      </w:pPr>
      <w:r>
        <w:t>one a cognate shares exactly with its own scramble — composition. The null on</w:t>
      </w:r>
    </w:p>
    <w:p>
      <w:pPr>
        <w:jc w:val="both"/>
      </w:pPr>
      <w:r>
        <w:t xml:space="preserve">order is a </w:t>
      </w:r>
      <w:r>
        <w:rPr>
          <w:i/>
        </w:rPr>
        <w:t>bound</w:t>
      </w:r>
      <w:r>
        <w:t xml:space="preserve"> rather than a zero: any order effect is at most 63% of the</w:t>
      </w:r>
    </w:p>
    <w:p>
      <w:pPr>
        <w:jc w:val="both"/>
      </w:pPr>
      <w:r>
        <w:t>composition effect and is plausibly nil.</w:t>
      </w:r>
    </w:p>
    <w:p>
      <w:pPr>
        <w:jc w:val="both"/>
      </w:pPr>
      <w:r>
        <w:t>The effect is not a length artifact, which was tested directly: ipTM falls with</w:t>
      </w:r>
    </w:p>
    <w:p>
      <w:pPr>
        <w:jc w:val="both"/>
      </w:pPr>
      <w:r>
        <w:t>peptide length (Spearman −0.408, p = 1.2e-6), but regressing the per-pair</w:t>
      </w:r>
    </w:p>
    <w:p>
      <w:pPr>
        <w:jc w:val="both"/>
      </w:pPr>
      <w:r>
        <w:t>cognate-minus-decoy score difference on the corresponding length difference</w:t>
      </w:r>
    </w:p>
    <w:p>
      <w:pPr>
        <w:jc w:val="both"/>
      </w:pPr>
      <w:r>
        <w:t xml:space="preserve">leaves an intercept of </w:t>
      </w:r>
      <w:r>
        <w:rPr>
          <w:b/>
        </w:rPr>
        <w:t>+0.0752 (p = 0.0001)</w:t>
      </w:r>
      <w:r>
        <w:t>. The advantage survives length</w:t>
      </w:r>
    </w:p>
    <w:p>
      <w:pPr>
        <w:jc w:val="both"/>
      </w:pPr>
      <w:r>
        <w:t>adjustment; it is compositional rather than positional.</w:t>
      </w:r>
    </w:p>
    <w:p>
      <w:pPr>
        <w:jc w:val="both"/>
      </w:pPr>
      <w:r>
        <w:rPr>
          <w:b/>
        </w:rPr>
        <w:t>Conclusion.</w:t>
      </w:r>
      <w:r>
        <w:t xml:space="preserve"> The powered run resolves the question and the answer remains</w:t>
      </w:r>
    </w:p>
    <w:p>
      <w:pPr>
        <w:jc w:val="both"/>
      </w:pPr>
      <w:r>
        <w:t>negative, now with a mechanism: ipTM responds to peptide composition and is</w:t>
      </w:r>
    </w:p>
    <w:p>
      <w:pPr>
        <w:jc w:val="both"/>
      </w:pPr>
      <w:r>
        <w:t>indifferent to sequence order. A screening reference must prefer a binder to its</w:t>
      </w:r>
    </w:p>
    <w:p>
      <w:pPr>
        <w:jc w:val="both"/>
      </w:pPr>
      <w:r>
        <w:t>own scramble, and this one does not. The finding converges with Section 6.2 from</w:t>
      </w:r>
    </w:p>
    <w:p>
      <w:pPr>
        <w:jc w:val="both"/>
      </w:pPr>
      <w:r>
        <w:t>an independent direction — a ridge regression on additive composition predicted</w:t>
      </w:r>
    </w:p>
    <w:p>
      <w:pPr>
        <w:jc w:val="both"/>
      </w:pPr>
      <w:r>
        <w:t>ipTM better than the distilled neural surrogate — indicating that the signal</w:t>
      </w:r>
    </w:p>
    <w:p>
      <w:pPr>
        <w:jc w:val="both"/>
      </w:pPr>
      <w:r>
        <w:t>available in this pipeline is compositional throughout.</w:t>
      </w:r>
    </w:p>
    <w:p>
      <w:pPr>
        <w:jc w:val="both"/>
      </w:pPr>
      <w:r>
        <w:t>Reporting only the decoys-only comparison would have produced a positive</w:t>
      </w:r>
    </w:p>
    <w:p>
      <w:pPr>
        <w:jc w:val="both"/>
      </w:pPr>
      <w:r>
        <w:t>headline that the experiment's own control contradicts.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6.5 Measurement Reproducibility: Single Folds Do Not Reproduce</w:t>
      </w:r>
    </w:p>
    <w:p>
      <w:pPr>
        <w:jc w:val="both"/>
      </w:pPr>
      <w:r>
        <w:t xml:space="preserve">Every fold in Sections 6.2–6.4 was unseeded. Boltz's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defaults to</w:t>
      </w:r>
    </w:p>
    <w:p>
      <w:pPr>
        <w:jc w:val="both"/>
      </w:pPr>
      <w:r>
        <w:rPr>
          <w:rFonts w:ascii="Courier New" w:hAnsi="Courier New"/>
          <w:sz w:val="19"/>
          <w:shd w:fill="f7fafc"/>
        </w:rPr>
        <w:t>None</w:t>
      </w:r>
      <w:r>
        <w:t xml:space="preserve">, and the benchmark's own </w:t>
      </w:r>
      <w:r>
        <w:rPr>
          <w:rFonts w:ascii="Courier New" w:hAnsi="Courier New"/>
          <w:sz w:val="19"/>
          <w:shd w:fill="f7fafc"/>
        </w:rPr>
        <w:t>--seed</w:t>
      </w:r>
      <w:r>
        <w:t xml:space="preserve"> governs only pair construction, not the</w:t>
      </w:r>
    </w:p>
    <w:p>
      <w:pPr>
        <w:jc w:val="both"/>
      </w:pPr>
      <w:r>
        <w:t>diffusion sampler — so each reported ipTM is a single draw from a distribution</w:t>
      </w:r>
    </w:p>
    <w:p>
      <w:pPr>
        <w:jc w:val="both"/>
      </w:pPr>
      <w:r>
        <w:t>whose width had not been measured, while the load-bearing comparison rested on a</w:t>
      </w:r>
    </w:p>
    <w:p>
      <w:pPr>
        <w:jc w:val="both"/>
      </w:pPr>
      <w:r>
        <w:t>difference of +0.0128. A replicate study (4 receptors spanning every observed</w:t>
      </w:r>
    </w:p>
    <w:p>
      <w:pPr>
        <w:jc w:val="both"/>
      </w:pPr>
      <w:r>
        <w:t xml:space="preserve">outcome, all 6 complexes each, </w:t>
      </w:r>
      <w:r>
        <w:rPr>
          <w:b/>
        </w:rPr>
        <w:t>4 identical re-runs = 96 folds</w:t>
      </w:r>
      <w:r>
        <w:t>, at the same</w:t>
      </w:r>
    </w:p>
    <w:p>
      <w:pPr>
        <w:jc w:val="both"/>
      </w:pPr>
      <w:r>
        <w:t>settings) measured 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pooled within-complex SD : 0.0628      median range : 0.1271</w:t>
              <w:br/>
              <w:t xml:space="preserve">  cognate - decoy    +0.0698  = 1.11 x SD   comparable to noise</w:t>
              <w:br/>
              <w:t xml:space="preserve">  cognate - scramble +0.0128  = 0.20 x SD   below noise</w:t>
            </w:r>
          </w:p>
        </w:tc>
      </w:tr>
    </w:tbl>
    <w:p/>
    <w:p>
      <w:pPr>
        <w:jc w:val="both"/>
      </w:pPr>
      <w:r>
        <w:rPr>
          <w:b/>
        </w:rPr>
        <w:t>Per-receptor rankings are not reproducible.</w:t>
      </w:r>
      <w:r>
        <w:t xml:space="preserve"> Cognate rank among its own three</w:t>
      </w:r>
    </w:p>
    <w:p>
      <w:pPr>
        <w:jc w:val="both"/>
      </w:pPr>
      <w:r>
        <w:t>decoys across four identical runs: 1YCR [1,2,1,1], 9F6S [2,1,1,1],</w:t>
      </w:r>
    </w:p>
    <w:p>
      <w:pPr>
        <w:jc w:val="both"/>
      </w:pPr>
      <w:r>
        <w:t>8KDX [3,3,4,2], 6YOO [1,4,4,3]. Four of four flip, and 6YOO spans the whole</w:t>
      </w:r>
    </w:p>
    <w:p>
      <w:pPr>
        <w:jc w:val="both"/>
      </w:pPr>
      <w:r>
        <w:t>range — best to worst on identical input.</w:t>
      </w:r>
    </w:p>
    <w:p>
      <w:pPr>
        <w:jc w:val="both"/>
      </w:pPr>
      <w:r>
        <w:rPr>
          <w:b/>
        </w:rPr>
        <w:t>The aggregate effect survives; the significance verdict does not.</w:t>
      </w:r>
      <w:r>
        <w:t xml:space="preserve"> A</w:t>
      </w:r>
    </w:p>
    <w:p>
      <w:pPr>
        <w:jc w:val="both"/>
      </w:pPr>
      <w:r>
        <w:t>parametric bootstrap re-simulating the full 132-fold benchmark under the measured</w:t>
      </w:r>
    </w:p>
    <w:p>
      <w:pPr>
        <w:jc w:val="both"/>
      </w:pPr>
      <w:r>
        <w:t>noise (4,000 replications) gives a mean cognate rank of 2.03 with 95% range</w:t>
      </w:r>
    </w:p>
    <w:p>
      <w:pPr>
        <w:jc w:val="both"/>
      </w:pPr>
      <w:r>
        <w:rPr>
          <w:b/>
        </w:rPr>
        <w:t>[1.77, 2.27]</w:t>
      </w:r>
      <w:r>
        <w:t xml:space="preserve"> — always below the chance value of 2.50 — but </w:t>
      </w:r>
      <w:r>
        <w:rPr>
          <w:b/>
        </w:rPr>
      </w:r>
      <w:r>
        <w:t>p &lt; 0.05 in only</w:t>
      </w:r>
    </w:p>
    <w:p>
      <w:pPr>
        <w:jc w:val="both"/>
      </w:pPr>
      <w:r>
        <w:t>49% of re-runs</w:t>
      </w:r>
      <w:r>
        <w:rPr>
          <w:b/>
        </w:rPr>
      </w:r>
      <w:r>
        <w:t xml:space="preserve"> (median p = 0.054, range [0.004, 0.374]). The preference is real</w:t>
      </w:r>
    </w:p>
    <w:p>
      <w:pPr>
        <w:jc w:val="both"/>
      </w:pPr>
      <w:r>
        <w:t xml:space="preserve">and is probably </w:t>
      </w:r>
      <w:r>
        <w:rPr>
          <w:i/>
        </w:rPr>
        <w:t>stronger</w:t>
      </w:r>
      <w:r>
        <w:t xml:space="preserve"> than 2.00 indicates, because measurement error</w:t>
      </w:r>
    </w:p>
    <w:p>
      <w:pPr>
        <w:jc w:val="both"/>
      </w:pPr>
      <w:r>
        <w:t>attenuates rank effects toward chance. What a single run cannot support is the</w:t>
      </w:r>
    </w:p>
    <w:p>
      <w:pPr>
        <w:jc w:val="both"/>
      </w:pPr>
      <w:r>
        <w:t>precision of its own verdict, and Section 6.4's p = 0.034 should be read that way.</w:t>
      </w:r>
    </w:p>
    <w:p>
      <w:pPr>
        <w:jc w:val="both"/>
      </w:pPr>
      <w:r>
        <w:rPr>
          <w:b/>
        </w:rPr>
        <w:t>Consequence for method.</w:t>
      </w:r>
      <w:r>
        <w:t xml:space="preserve"> Supporting per-receptor claims requires roughly 9–16</w:t>
      </w:r>
    </w:p>
    <w:p>
      <w:pPr>
        <w:jc w:val="both"/>
      </w:pPr>
      <w:r>
        <w:t>replicate folds per complex (SE 0.021–0.016 against competitor gaps near 0.05),</w:t>
      </w:r>
    </w:p>
    <w:p>
      <w:pPr>
        <w:jc w:val="both"/>
      </w:pPr>
      <w:r>
        <w:t>i.e. 1,200–2,100 folds for the panel. That is a GPU-scale workload, which makes</w:t>
      </w:r>
    </w:p>
    <w:p>
      <w:pPr>
        <w:jc w:val="both"/>
      </w:pPr>
      <w:r>
        <w:t>the deferred CUDA phase a prerequisite for the next round rather than a</w:t>
      </w:r>
    </w:p>
    <w:p>
      <w:pPr>
        <w:jc w:val="both"/>
      </w:pPr>
      <w:r>
        <w:t>throughput improvement.</w:t>
      </w:r>
    </w:p>
    <w:p>
      <w:pPr>
        <w:jc w:val="both"/>
      </w:pPr>
      <w:r>
        <w:t>The observation generalises beyond this project: ranking candidate binders from a</w:t>
      </w:r>
    </w:p>
    <w:p>
      <w:pPr>
        <w:jc w:val="both"/>
      </w:pPr>
      <w:r>
        <w:rPr>
          <w:i/>
        </w:rPr>
        <w:t>single</w:t>
      </w:r>
      <w:r>
        <w:t xml:space="preserve"> AlphaFold or Boltz run is common practice, and at reduced sampling</w:t>
      </w:r>
    </w:p>
    <w:p>
      <w:pPr>
        <w:jc w:val="both"/>
      </w:pPr>
      <w:r>
        <w:t>settings a single run does not reproduce its own ranking.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Reference &amp; Surrogate Validation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23 Jun 2026 – 31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Measure ipTM as a ranking reference against PDB complexes; distil and evaluate the surrogate; establish the low-rank OPM reachability result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01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Powered Specificity Run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01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 the 22-receptor Boltz-2 benchmark (Section 6.4)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Measurement Reproducibility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02 Aug 2026 – 02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Quantify ipTM run-to-run variance (Section 6.5)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Replicate-Averaged Rerun (GPU)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03 Aug 2026 – 20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9-16 replicate folds per complex; requires CUDA deployment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 w:val="0"/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03 Aug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Consolidate results and write the dissertation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b w:val="0"/>
                <w:sz w:val="18"/>
              </w:rPr>
              <w:t>IN PROGRESS</w:t>
            </w:r>
          </w:p>
        </w:tc>
      </w:tr>
    </w:tbl>
    <w:p/>
    <w:p>
      <w:pPr>
        <w:jc w:val="both"/>
      </w:pPr>
      <w:r>
        <w:rPr>
          <w:b/>
        </w:rPr>
        <w:t>Change of plan, and why.</w:t>
      </w:r>
      <w:r>
        <w:t xml:space="preserve"> The original phase 5 (CUDA/NCCL scaling) was</w:t>
      </w:r>
    </w:p>
    <w:p>
      <w:pPr>
        <w:jc w:val="both"/>
      </w:pPr>
      <w:r>
        <w:t>deferred in favour of validating the scoring reference, because the binder</w:t>
      </w:r>
    </w:p>
    <w:p>
      <w:pPr>
        <w:jc w:val="both"/>
      </w:pPr>
      <w:r>
        <w:t>screen planned for phase 6 depends on it: a screen ranked by a signal that does</w:t>
      </w:r>
    </w:p>
    <w:p>
      <w:pPr>
        <w:jc w:val="both"/>
      </w:pPr>
      <w:r>
        <w:t>not discriminate binders would produce candidates with no meaning regardless of</w:t>
      </w:r>
    </w:p>
    <w:p>
      <w:pPr>
        <w:jc w:val="both"/>
      </w:pPr>
      <w:r>
        <w:t>how fast it ran. That validation (Section 6.2) showed the dependency does not</w:t>
      </w:r>
    </w:p>
    <w:p>
      <w:pPr>
        <w:jc w:val="both"/>
      </w:pPr>
      <w:r>
        <w:t>hold, which is why the remaining plan prioritises the powered specificity run</w:t>
      </w:r>
    </w:p>
    <w:p>
      <w:pPr>
        <w:jc w:val="both"/>
      </w:pPr>
      <w:r>
        <w:t>over the TNF-alpha screen. Scaling work remains valuable for throughput but no</w:t>
      </w:r>
    </w:p>
    <w:p>
      <w:pPr>
        <w:jc w:val="both"/>
      </w:pPr>
      <w:r>
        <w:t>longer sits on the critical path to a defensible result.</w:t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8. ABBREVIATIONS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 Of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Interface Predicted TM-score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Multiple Sequence Alignment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CANDECOMP/PARAFAC tensor decomposition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Alternating Least Squares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PTM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Post-Translational Modification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AUC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Area Under the ROC Curve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Confidence Interval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RCSB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Research Collaboratory for Structural Bioinformatics</w:t>
            </w:r>
          </w:p>
        </w:tc>
      </w:tr>
    </w:tbl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