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240"/>
        <w:jc w:val="center"/>
      </w:pPr>
      <w:r>
        <w:rPr>
          <w:rFonts w:ascii="Times New Roman" w:hAnsi="Times New Roman"/>
          <w:b/>
          <w:color w:val="0C2340"/>
          <w:sz w:val="32"/>
        </w:rPr>
        <w:t>EFFICIENCY-OPTIMIZED GENERATIVE PARADIGMS FOR</w:t>
        <w:br/>
        <w:t>LARGE-SCALE BIOMOLECULAR DESIGN</w:t>
      </w:r>
    </w:p>
    <w:p>
      <w:pPr>
        <w:spacing w:after="480"/>
        <w:jc w:val="center"/>
      </w:pPr>
      <w:r>
        <w:rPr>
          <w:rFonts w:ascii="Times New Roman" w:hAnsi="Times New Roman"/>
          <w:b/>
          <w:sz w:val="24"/>
        </w:rPr>
        <w:t>BITS ZG628T: Dissertation — Final Report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by</w:t>
      </w:r>
    </w:p>
    <w:p>
      <w:pPr>
        <w:spacing w:after="80"/>
        <w:jc w:val="center"/>
      </w:pPr>
      <w:r>
        <w:rPr>
          <w:rFonts w:ascii="Times New Roman" w:hAnsi="Times New Roman"/>
          <w:b/>
          <w:sz w:val="26"/>
        </w:rPr>
        <w:t>Akik Jana</w:t>
      </w:r>
    </w:p>
    <w:p>
      <w:pPr>
        <w:spacing w:after="720"/>
        <w:jc w:val="center"/>
      </w:pPr>
      <w:r>
        <w:rPr>
          <w:rFonts w:ascii="Times New Roman" w:hAnsi="Times New Roman"/>
          <w:sz w:val="22"/>
        </w:rPr>
        <w:t>(2024AB05287)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Dissertation work carried out at</w:t>
      </w:r>
    </w:p>
    <w:p>
      <w:pPr>
        <w:spacing w:after="720"/>
        <w:jc w:val="center"/>
      </w:pPr>
      <w:r>
        <w:rPr>
          <w:rFonts w:ascii="Times New Roman" w:hAnsi="Times New Roman"/>
          <w:b/>
          <w:sz w:val="24"/>
        </w:rPr>
        <w:t>Mu Sigma, Bangalore</w:t>
      </w:r>
    </w:p>
    <w:p>
      <w:pPr>
        <w:spacing w:after="720"/>
        <w:ind w:left="1080" w:right="1080"/>
        <w:jc w:val="center"/>
      </w:pPr>
      <w:r>
        <w:rPr>
          <w:rFonts w:ascii="Times New Roman" w:hAnsi="Times New Roman"/>
          <w:i/>
          <w:sz w:val="22"/>
        </w:rPr>
        <w:t>Submitted in partial fulfilment of M.Tech. in Artificial Intelligence and Machine Learning degree programme</w:t>
      </w:r>
    </w:p>
    <w:p>
      <w:pPr>
        <w:spacing w:after="120"/>
        <w:jc w:val="center"/>
      </w:pPr>
      <w:r>
        <w:rPr>
          <w:rFonts w:ascii="Times New Roman" w:hAnsi="Times New Roman"/>
          <w:i/>
          <w:sz w:val="22"/>
        </w:rPr>
        <w:t>Under the Supervision of</w:t>
      </w:r>
    </w:p>
    <w:p>
      <w:pPr>
        <w:spacing w:after="80"/>
        <w:jc w:val="center"/>
      </w:pPr>
      <w:r>
        <w:rPr>
          <w:rFonts w:ascii="Times New Roman" w:hAnsi="Times New Roman"/>
          <w:b/>
          <w:sz w:val="24"/>
        </w:rPr>
        <w:t>Dr. Arnab Bandyopadhyay</w:t>
      </w:r>
    </w:p>
    <w:p>
      <w:pPr>
        <w:spacing w:after="800"/>
        <w:jc w:val="center"/>
      </w:pPr>
      <w:r>
        <w:rPr>
          <w:rFonts w:ascii="Times New Roman" w:hAnsi="Times New Roman"/>
          <w:sz w:val="22"/>
        </w:rPr>
        <w:t>RnD Division, Dr. Reddy's Laboratories, Hyderabad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t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/>
          <w:b/>
          <w:color w:val="0C2340"/>
          <w:sz w:val="26"/>
        </w:rPr>
        <w:t>BIRLA INSTITUTE OF TECHNOLOGY &amp; SCIENCE</w:t>
      </w:r>
    </w:p>
    <w:p>
      <w:pPr>
        <w:spacing w:after="240"/>
        <w:jc w:val="center"/>
      </w:pPr>
      <w:r>
        <w:rPr>
          <w:rFonts w:ascii="Times New Roman" w:hAnsi="Times New Roman"/>
          <w:b/>
          <w:color w:val="0C2340"/>
          <w:sz w:val="24"/>
        </w:rPr>
        <w:t>PILANI (RAJASTHAN)</w:t>
      </w:r>
    </w:p>
    <w:p>
      <w:pPr>
        <w:jc w:val="center"/>
      </w:pPr>
      <w:r>
        <w:rPr>
          <w:rFonts w:ascii="Times New Roman" w:hAnsi="Times New Roman"/>
          <w:sz w:val="22"/>
        </w:rPr>
        <w:t>August 2026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 REPORT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ON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EFFICIENCY-OPTIMIZED GENERATIVE PARADIGMS FOR LARGE-SCALE BIOMOLECULAR DESIGN</w:t>
      </w:r>
    </w:p>
    <w:p>
      <w:pPr>
        <w:jc w:val="both"/>
      </w:pPr>
      <w:r>
        <w:t xml:space="preserve"> 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BY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Name of the Student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ID. No.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Discipline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Akik Jana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2024AB05287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M.Tech. Artificial Intelligence and Machine Learning</w:t>
            </w:r>
          </w:p>
        </w:tc>
      </w:tr>
    </w:tbl>
    <w:p/>
    <w:p>
      <w:pPr>
        <w:jc w:val="both"/>
      </w:pPr>
      <w:r>
        <w:t xml:space="preserve"> </w:t>
      </w:r>
    </w:p>
    <w:p>
      <w:pPr>
        <w:jc w:val="both"/>
      </w:pPr>
      <w:r>
        <w:rPr>
          <w:b/>
        </w:rPr>
        <w:t>Prepared in partial fulfilment of the</w:t>
      </w:r>
    </w:p>
    <w:p>
      <w:pPr>
        <w:jc w:val="both"/>
      </w:pPr>
      <w:r>
        <w:rPr>
          <w:b/>
        </w:rPr>
        <w:t>WILP Dissertation Course (BITS ZG628T)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AT</w:t>
      </w:r>
    </w:p>
    <w:p>
      <w:pPr>
        <w:jc w:val="both"/>
      </w:pPr>
      <w:r>
        <w:rPr>
          <w:b/>
        </w:rPr>
        <w:t>Mu Sigma, Bangalore</w:t>
      </w:r>
    </w:p>
    <w:p>
      <w:pPr>
        <w:jc w:val="both"/>
      </w:pPr>
      <w:r>
        <w:rPr>
          <w:b/>
        </w:rPr>
        <w:t>BIRLA INSTITUTE OF TECHNOLOGY &amp; SCIENCE, PILANI</w:t>
      </w:r>
    </w:p>
    <w:p>
      <w:pPr>
        <w:jc w:val="both"/>
      </w:pPr>
      <w:r>
        <w:rPr>
          <w:b/>
        </w:rPr>
        <w:t>August 2026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CERTIFICATE</w:t>
      </w:r>
    </w:p>
    <w:p>
      <w:pPr>
        <w:jc w:val="both"/>
      </w:pPr>
      <w:r>
        <w:t xml:space="preserve">This is to certify that the Dissertation entitled </w:t>
      </w:r>
      <w:r>
        <w:rPr>
          <w:b/>
        </w:rPr>
      </w:r>
      <w:r>
        <w:t>"Efficiency-Optimized</w:t>
      </w:r>
    </w:p>
    <w:p>
      <w:pPr>
        <w:jc w:val="both"/>
      </w:pPr>
      <w:r>
        <w:t>Generative Paradigms for Large-Scale Biomolecular Design"</w:t>
      </w:r>
      <w:r>
        <w:rPr>
          <w:b/>
        </w:rPr>
      </w:r>
      <w:r>
        <w:t xml:space="preserve"> and submitted by</w:t>
      </w:r>
    </w:p>
    <w:p>
      <w:pPr>
        <w:jc w:val="both"/>
      </w:pPr>
      <w:r>
        <w:rPr>
          <w:b/>
        </w:rPr>
        <w:t>Akik Jana</w:t>
      </w:r>
      <w:r>
        <w:t xml:space="preserve">, ID No. </w:t>
      </w:r>
      <w:r>
        <w:rPr>
          <w:b/>
        </w:rPr>
        <w:t>2024AB05287</w:t>
      </w:r>
      <w:r>
        <w:t>, in partial fulfilment of the requirements</w:t>
      </w:r>
    </w:p>
    <w:p>
      <w:pPr>
        <w:jc w:val="both"/>
      </w:pPr>
      <w:r>
        <w:t xml:space="preserve">of the course </w:t>
      </w:r>
      <w:r>
        <w:rPr>
          <w:b/>
        </w:rPr>
        <w:t>BITS ZG628T Dissertation</w:t>
      </w:r>
      <w:r>
        <w:t>, embodies the work done by him under</w:t>
      </w:r>
    </w:p>
    <w:p>
      <w:pPr>
        <w:jc w:val="both"/>
      </w:pPr>
      <w:r>
        <w:t>my supervision.</w:t>
      </w:r>
    </w:p>
    <w:p>
      <w:pPr>
        <w:jc w:val="both"/>
      </w:pPr>
      <w:r>
        <w:t xml:space="preserve"> </w:t>
      </w:r>
    </w:p>
    <w:p>
      <w:pPr>
        <w:jc w:val="both"/>
      </w:pP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Student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Akik Jana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Bangalore</w:t>
            </w:r>
          </w:p>
        </w:tc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Supervisor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Dr. Arnab Bandyopadhyay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Hyderabad</w:t>
            </w:r>
          </w:p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</w:tbl>
    <w:p/>
    <w:p>
      <w:pPr>
        <w:jc w:val="both"/>
      </w:pPr>
      <w:r>
        <w:t>&lt;div class="sig-col"&gt;</w:t>
      </w:r>
    </w:p>
    <w:p>
      <w:pPr>
        <w:jc w:val="both"/>
      </w:pPr>
      <w:r>
        <w:t>&lt;div class="sig-line"&gt;&lt;/div&gt;</w:t>
      </w:r>
    </w:p>
    <w:p>
      <w:pPr>
        <w:jc w:val="both"/>
      </w:pPr>
      <w:r>
        <w:t>&lt;div class="sig-title"&gt;Signature of the Student&lt;/div&gt;</w:t>
      </w:r>
    </w:p>
    <w:p>
      <w:pPr>
        <w:jc w:val="both"/>
      </w:pPr>
      <w:r>
        <w:t>&lt;div class="sig-field"&gt;</w:t>
      </w:r>
      <w:r>
        <w:rPr>
          <w:b/>
        </w:rPr>
        <w:t>Name:</w:t>
      </w:r>
      <w:r>
        <w:t xml:space="preserve"> Akik Jana&lt;/div&gt;</w:t>
      </w:r>
    </w:p>
    <w:p>
      <w:pPr>
        <w:jc w:val="both"/>
      </w:pPr>
      <w:r>
        <w:t>&lt;div class="sig-field"&gt;</w:t>
      </w:r>
      <w:r>
        <w:rPr>
          <w:b/>
        </w:rPr>
        <w:t>ID No.:</w:t>
      </w:r>
      <w:r>
        <w:t xml:space="preserve"> 2024AB05287&lt;/div&gt;</w:t>
      </w:r>
    </w:p>
    <w:p>
      <w:pPr>
        <w:jc w:val="both"/>
      </w:pPr>
      <w:r>
        <w:t>&lt;div class="sig-field"&gt;</w:t>
      </w:r>
      <w:r>
        <w:rPr>
          <w:b/>
        </w:rPr>
        <w:t>Date:</w:t>
      </w:r>
      <w:r>
        <w:t xml:space="preserve"> _______________&lt;/div&gt;</w:t>
      </w:r>
    </w:p>
    <w:p>
      <w:pPr>
        <w:jc w:val="both"/>
      </w:pPr>
      <w:r>
        <w:t>&lt;div class="sig-field"&gt;</w:t>
      </w:r>
      <w:r>
        <w:rPr>
          <w:b/>
        </w:rPr>
        <w:t>Place:</w:t>
      </w:r>
      <w:r>
        <w:t xml:space="preserve"> Bangalore&lt;/div&gt;</w:t>
      </w:r>
    </w:p>
    <w:p>
      <w:pPr>
        <w:jc w:val="both"/>
      </w:pPr>
      <w:r>
        <w:t>&lt;/div&gt;</w:t>
      </w:r>
    </w:p>
    <w:p>
      <w:pPr>
        <w:jc w:val="both"/>
      </w:pPr>
      <w:r>
        <w:t>&lt;/div&gt;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ACKNOWLEDGEMENTS</w:t>
      </w:r>
    </w:p>
    <w:p>
      <w:pPr>
        <w:jc w:val="both"/>
      </w:pPr>
      <w:r>
        <w:t xml:space="preserve">I am grateful to the management of </w:t>
      </w:r>
      <w:r>
        <w:rPr>
          <w:b/>
        </w:rPr>
        <w:t>Mu Sigma, Bangalore</w:t>
      </w:r>
      <w:r>
        <w:t>, for supporting this</w:t>
      </w:r>
    </w:p>
    <w:p>
      <w:pPr>
        <w:jc w:val="both"/>
      </w:pPr>
      <w:r>
        <w:t>dissertation and for providing the environment in which it was carried out.</w:t>
      </w:r>
    </w:p>
    <w:p>
      <w:pPr>
        <w:jc w:val="both"/>
      </w:pPr>
      <w:r>
        <w:t xml:space="preserve">I thank my supervisor, </w:t>
      </w:r>
      <w:r>
        <w:rPr>
          <w:b/>
        </w:rPr>
        <w:t>Dr. Arnab Bandyopadhyay</w:t>
      </w:r>
      <w:r>
        <w:t>, RnD Division, Dr. Reddy's</w:t>
      </w:r>
    </w:p>
    <w:p>
      <w:pPr>
        <w:jc w:val="both"/>
      </w:pPr>
      <w:r>
        <w:t>Laboratories, Hyderabad, for his guidance throughout this work, and in</w:t>
      </w:r>
    </w:p>
    <w:p>
      <w:pPr>
        <w:jc w:val="both"/>
      </w:pPr>
      <w:r>
        <w:t>particular for his insistence that a negative result carefully established is</w:t>
      </w:r>
    </w:p>
    <w:p>
      <w:pPr>
        <w:jc w:val="both"/>
      </w:pPr>
      <w:r>
        <w:t>worth more than a positive result loosely argued. That principle shaped the</w:t>
      </w:r>
    </w:p>
    <w:p>
      <w:pPr>
        <w:jc w:val="both"/>
      </w:pPr>
      <w:r>
        <w:t>second half of this dissertation.</w:t>
      </w:r>
    </w:p>
    <w:p>
      <w:pPr>
        <w:jc w:val="both"/>
      </w:pPr>
      <w:r>
        <w:t xml:space="preserve">I thank the </w:t>
      </w:r>
      <w:r>
        <w:rPr>
          <w:b/>
        </w:rPr>
        <w:t>faculty mentor</w:t>
      </w:r>
      <w:r>
        <w:t xml:space="preserve"> and the </w:t>
      </w:r>
      <w:r>
        <w:rPr>
          <w:b/>
        </w:rPr>
        <w:t>WILP Division, BITS Pilani</w:t>
      </w:r>
      <w:r>
        <w:t>, for the</w:t>
      </w:r>
    </w:p>
    <w:p>
      <w:pPr>
        <w:jc w:val="both"/>
      </w:pPr>
      <w:r>
        <w:t>structure and review that kept the work on schedule.</w:t>
      </w:r>
    </w:p>
    <w:p>
      <w:pPr>
        <w:jc w:val="both"/>
      </w:pPr>
      <w:r>
        <w:t xml:space="preserve">Finally, I acknowledge the maintainers of the open-source </w:t>
      </w:r>
      <w:r>
        <w:rPr>
          <w:b/>
        </w:rPr>
        <w:t>Boltz</w:t>
      </w:r>
      <w:r>
        <w:t xml:space="preserve"> project,</w:t>
      </w:r>
    </w:p>
    <w:p>
      <w:pPr>
        <w:jc w:val="both"/>
      </w:pPr>
      <w:r>
        <w:t>whose released model and permissive licence made an independent evaluation of</w:t>
      </w:r>
    </w:p>
    <w:p>
      <w:pPr>
        <w:jc w:val="both"/>
      </w:pPr>
      <w:r>
        <w:t>this kind possible at all.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ABSTRACT SHEET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BIRLA INSTITUTE OF TECHNOLOGY AND SCIENCE, PILANI (RAJASTHAN)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WILP Division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514"/>
        <w:gridCol w:w="4514"/>
      </w:tblGrid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Organization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Mu Sigma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Bangalore, India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05 January 2026 – 02 August 2026 (approximately 30 weeks)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Date of Start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05 January 2026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Date of Submission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02 August 2026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Title of the Project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Efficiency-Optimized Generative Paradigms for Large-Scale Biomolecular Design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ID No. / Name of the Student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2024AB05287 / Akik Jana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Name and Designation of the Supervisor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Dr. Arnab Bandyopadhyay, RnD Division, Dr. Reddy's Laboratories, Hyderabad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Name of the Faculty Mentor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As assigned by the WILP Division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Key Words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Protein structure prediction; binder design; inference efficiency; low-rank factorization; tensor decomposition; knowledge distillation; interface confidence; benchmark reproducibility; Apple Silicon; edge inference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Project Areas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Machine Learning; Computational Structural Biology; Efficient Deep Learning Inference</w:t>
            </w:r>
          </w:p>
        </w:tc>
      </w:tr>
    </w:tbl>
    <w:p/>
    <w:p>
      <w:pPr>
        <w:jc w:val="both"/>
      </w:pPr>
      <w:r>
        <w:rPr>
          <w:b/>
        </w:rPr>
        <w:t>Abstract:</w:t>
      </w:r>
    </w:p>
    <w:p>
      <w:pPr>
        <w:jc w:val="both"/>
      </w:pPr>
      <w:r>
        <w:t>This dissertation investigates whether inference-efficiency techniques drawn</w:t>
      </w:r>
    </w:p>
    <w:p>
      <w:pPr>
        <w:jc w:val="both"/>
      </w:pPr>
      <w:r>
        <w:t>from large language models can make all-atom biomolecular structure prediction</w:t>
      </w:r>
    </w:p>
    <w:p>
      <w:pPr>
        <w:jc w:val="both"/>
      </w:pPr>
      <w:r>
        <w:t>and binder screening practical on edge hardware. A framework, Boltz-Fast, was</w:t>
      </w:r>
    </w:p>
    <w:p>
      <w:pPr>
        <w:jc w:val="both"/>
      </w:pPr>
      <w:r>
        <w:t>implemented on the open Boltz model: latent key-value caching, sequence</w:t>
      </w:r>
    </w:p>
    <w:p>
      <w:pPr>
        <w:jc w:val="both"/>
      </w:pPr>
      <w:r>
        <w:t>parallelism, a low-rank pair representation, classifier-free-guidance</w:t>
      </w:r>
    </w:p>
    <w:p>
      <w:pPr>
        <w:jc w:val="both"/>
      </w:pPr>
      <w:r>
        <w:t>distillation, and a neural coordinate refiner, all executing device-agnostically</w:t>
      </w:r>
    </w:p>
    <w:p>
      <w:pPr>
        <w:jc w:val="both"/>
      </w:pPr>
      <w:r>
        <w:t>on Apple Silicon. Component microbenchmarks showed large savings. The work then</w:t>
      </w:r>
    </w:p>
    <w:p>
      <w:pPr>
        <w:jc w:val="both"/>
      </w:pPr>
      <w:r>
        <w:t>tested those components against pretrained checkpoints and experimentally</w:t>
      </w:r>
    </w:p>
    <w:p>
      <w:pPr>
        <w:jc w:val="both"/>
      </w:pPr>
      <w:r>
        <w:t>determined structures rather than synthetic tensors, and two central claims did</w:t>
      </w:r>
    </w:p>
    <w:p>
      <w:pPr>
        <w:jc w:val="both"/>
      </w:pPr>
      <w:r>
        <w:t>not survive. The low-rank pair representation cannot be recovered from released</w:t>
      </w:r>
    </w:p>
    <w:p>
      <w:pPr>
        <w:jc w:val="both"/>
      </w:pPr>
      <w:r>
        <w:t>weights at any rank that saves memory. Interface confidence responds largely to</w:t>
      </w:r>
    </w:p>
    <w:p>
      <w:pPr>
        <w:jc w:val="both"/>
      </w:pPr>
      <w:r>
        <w:t>peptide composition rather than to binding, and a single unseeded fold does not</w:t>
      </w:r>
    </w:p>
    <w:p>
      <w:pPr>
        <w:jc w:val="both"/>
      </w:pPr>
      <w:r>
        <w:t>reproduce its own ranking. Each negative result is supported by controls,</w:t>
      </w:r>
    </w:p>
    <w:p>
      <w:pPr>
        <w:jc w:val="both"/>
      </w:pPr>
      <w:r>
        <w:t>held-out splits, power analysis and replication. The engineering contributions</w:t>
      </w:r>
    </w:p>
    <w:p>
      <w:pPr>
        <w:jc w:val="both"/>
      </w:pPr>
      <w:r>
        <w:t>stand; the accompanying accuracy claims are bounded and stated.</w:t>
      </w:r>
    </w:p>
    <w:p>
      <w:pPr>
        <w:jc w:val="both"/>
      </w:pPr>
      <w: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Student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Akik Jana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Bangalore</w:t>
            </w:r>
          </w:p>
        </w:tc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Supervisor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Dr. Arnab Bandyopadhyay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Hyderabad</w:t>
            </w:r>
          </w:p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</w:tbl>
    <w:p/>
    <w:p>
      <w:pPr>
        <w:jc w:val="both"/>
      </w:pPr>
      <w:r>
        <w:t>&lt;div class="sig-col"&gt;</w:t>
      </w:r>
    </w:p>
    <w:p>
      <w:pPr>
        <w:jc w:val="both"/>
      </w:pPr>
      <w:r>
        <w:t>&lt;div class="sig-line"&gt;&lt;/div&gt;</w:t>
      </w:r>
    </w:p>
    <w:p>
      <w:pPr>
        <w:jc w:val="both"/>
      </w:pPr>
      <w:r>
        <w:t>&lt;div class="sig-title"&gt;Signature of the Supervisor&lt;/div&gt;</w:t>
      </w:r>
    </w:p>
    <w:p>
      <w:pPr>
        <w:jc w:val="both"/>
      </w:pPr>
      <w:r>
        <w:t>&lt;div class="sig-field"&gt;</w:t>
      </w:r>
      <w:r>
        <w:rPr>
          <w:b/>
        </w:rPr>
        <w:t>Name:</w:t>
      </w:r>
      <w:r>
        <w:t xml:space="preserve"> Dr. Arnab Bandyopadhyay&lt;/div&gt;</w:t>
      </w:r>
    </w:p>
    <w:p>
      <w:pPr>
        <w:jc w:val="both"/>
      </w:pPr>
      <w:r>
        <w:t>&lt;div class="sig-field"&gt;</w:t>
      </w:r>
      <w:r>
        <w:rPr>
          <w:b/>
        </w:rPr>
        <w:t>Date:</w:t>
      </w:r>
      <w:r>
        <w:t xml:space="preserve"> _______________&lt;/div&gt;</w:t>
      </w:r>
    </w:p>
    <w:p>
      <w:pPr>
        <w:jc w:val="both"/>
      </w:pPr>
      <w:r>
        <w:t>&lt;/div&gt;</w:t>
      </w:r>
    </w:p>
    <w:p>
      <w:pPr>
        <w:jc w:val="both"/>
      </w:pPr>
      <w:r>
        <w:t>&lt;/div&gt;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TABLE OF CONTENTS</w:t>
      </w:r>
    </w:p>
    <w:p>
      <w:pPr>
        <w:jc w:val="both"/>
      </w:pPr>
      <w:r>
        <w:t>CERTIFICATE ................................................................. ii</w:t>
      </w:r>
    </w:p>
    <w:p>
      <w:pPr>
        <w:jc w:val="both"/>
      </w:pPr>
      <w:r>
        <w:t>ACKNOWLEDGEMENTS ........................................................... iii</w:t>
      </w:r>
    </w:p>
    <w:p>
      <w:pPr>
        <w:jc w:val="both"/>
      </w:pPr>
      <w:r>
        <w:t>ABSTRACT SHEET .............................................................. iv</w:t>
      </w:r>
    </w:p>
    <w:p>
      <w:pPr>
        <w:jc w:val="both"/>
      </w:pPr>
      <w:r>
        <w:t>1. INTRODUCTION .............................................................. 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1.1 Background ............................................................... 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1.2 Problem Statement ........................................................ 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1.3 Objectives ............................................................... 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1.4 Literature Survey ........................................................ 2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1.5 Scope and Limitations .................................................... 2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1.6 Organisation of the Report ............................................... 3</w:t>
      </w:r>
    </w:p>
    <w:p>
      <w:pPr>
        <w:jc w:val="both"/>
      </w:pPr>
      <w:r>
        <w:t>2. MODULES IN BOLTZ-FAST ..................................................... 4</w:t>
      </w:r>
    </w:p>
    <w:p>
      <w:pPr>
        <w:jc w:val="both"/>
      </w:pPr>
      <w:r>
        <w:t>3. FUNCTIONAL BLOCK DIAGRAM &amp; METHODOLOGY .................................... 7</w:t>
      </w:r>
    </w:p>
    <w:p>
      <w:pPr>
        <w:jc w:val="both"/>
      </w:pPr>
      <w:r>
        <w:t>4. MAJOR TECHNICAL SPECIFICATIONS &amp; BENCHMARKS ............................... 8</w:t>
      </w:r>
    </w:p>
    <w:p>
      <w:pPr>
        <w:jc w:val="both"/>
      </w:pPr>
      <w:r>
        <w:t>5. DESIGN CONSIDERATIONS .................................................... 13</w:t>
      </w:r>
    </w:p>
    <w:p>
      <w:pPr>
        <w:jc w:val="both"/>
      </w:pPr>
      <w:r>
        <w:t>6. VERIFICATION &amp; TESTING (M1 &amp; M6) ......................................... 14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6.1 Subsequent Hardening of the Suite ....................................... 14</w:t>
      </w:r>
    </w:p>
    <w:p>
      <w:pPr>
        <w:jc w:val="both"/>
      </w:pPr>
      <w:r>
        <w:t>7. MEASURED RESULTS VS PRETRAINED WEIGHTS ................................... 16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7.1 Low-Rank Pair Representation on Pretrained Weights ...................... 16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7.2 Interface Confidence Does Not Rank Peptide Binders ...................... 17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7.3 Boltz-2 Comparison and a Correction to the Benchmark .................... 17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7.4 Powered Run: ipTM Tracks Composition, Not Binding ....................... 18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7.5 Measurement Reproducibility ............................................. 19</w:t>
      </w:r>
    </w:p>
    <w:p>
      <w:pPr>
        <w:jc w:val="both"/>
      </w:pPr>
      <w:r>
        <w:t>8. CONCLUSIONS AND RECOMMENDATIONS .......................................... 21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8.1 Conclusions ............................................................. 21</w:t>
      </w:r>
    </w:p>
    <w:p>
      <w:pPr>
        <w:jc w:val="both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>8.2 Recommendations ......................................................... 22</w:t>
      </w:r>
    </w:p>
    <w:p>
      <w:pPr>
        <w:jc w:val="both"/>
      </w:pPr>
      <w:r>
        <w:t>9. FUTURE PLAN .............................................................. 24</w:t>
      </w:r>
    </w:p>
    <w:p>
      <w:pPr>
        <w:jc w:val="both"/>
      </w:pPr>
      <w:r>
        <w:t>10. REFERENCES .............................................................. 27</w:t>
      </w:r>
    </w:p>
    <w:p>
      <w:pPr>
        <w:jc w:val="both"/>
      </w:pPr>
      <w:r>
        <w:t>APPENDIX A — ABBREVIATIONS AND GLOSSARY ..................................... 29</w:t>
      </w:r>
    </w:p>
    <w:p>
      <w:pPr>
        <w:jc w:val="both"/>
      </w:pPr>
      <w:r>
        <w:t>APPENDIX B — REPRODUCTION OF RESULTS ........................................ 31</w:t>
      </w:r>
    </w:p>
    <w:p>
      <w:pPr>
        <w:jc w:val="both"/>
      </w:pPr>
      <w:r>
        <w:t>CHECKLIST OF ITEMS FOR THE FINAL REPORT ..................................... 33</w:t>
      </w:r>
    </w:p>
    <w:p>
      <w:pPr>
        <w:jc w:val="both"/>
      </w:pPr>
      <w:r>
        <w:t xml:space="preserve"> 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LIST OF FIGURES</w:t>
      </w:r>
    </w:p>
    <w:p>
      <w:pPr>
        <w:jc w:val="both"/>
      </w:pPr>
      <w:r>
        <w:t>Figure 1: Core Modules in Boltz-Fast ......................................... 4</w:t>
      </w:r>
    </w:p>
    <w:p>
      <w:pPr>
        <w:jc w:val="both"/>
      </w:pPr>
      <w:r>
        <w:t>Figure 2: C-alpha Backbone 3D Coordinate Plot ............................... 10</w:t>
      </w:r>
    </w:p>
    <w:p>
      <w:pPr>
        <w:jc w:val="both"/>
      </w:pPr>
      <w:r>
        <w:t>Figure 3: Ray-Traced Protein Ribbon Model Rendering ......................... 11</w:t>
      </w:r>
    </w:p>
    <w:p>
      <w:pPr>
        <w:jc w:val="both"/>
      </w:pPr>
      <w:r>
        <w:t>Figure 4: ANE-Accelerated 3D Insulin Backbone Visualization ................. 12</w:t>
      </w:r>
    </w:p>
    <w:p>
      <w:pPr>
        <w:jc w:val="both"/>
      </w:pPr>
      <w:r>
        <w:t>Figure 5: Post-Diffusion Neural Coordinate Refinement Comparison ............ 15</w:t>
      </w:r>
    </w:p>
    <w:p>
      <w:pPr>
        <w:jc w:val="both"/>
      </w:pPr>
      <w:r>
        <w:t xml:space="preserve"> 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LIST OF TABLES</w:t>
      </w:r>
    </w:p>
    <w:p>
      <w:pPr>
        <w:jc w:val="both"/>
      </w:pPr>
      <w:r>
        <w:t>Table 1: Computational Complexity &amp; Scaling Comparison ....................... 8</w:t>
      </w:r>
    </w:p>
    <w:p>
      <w:pPr>
        <w:jc w:val="both"/>
      </w:pPr>
      <w:r>
        <w:t>Table 2: Speculative Flow Matching Grid Sweep Data ........................... 8</w:t>
      </w:r>
    </w:p>
    <w:p>
      <w:pPr>
        <w:jc w:val="both"/>
      </w:pPr>
      <w:r>
        <w:t>Table 3: Low-Rank Pair Representation Performance Scaling (Rank r=16, D_pair=128) ... 9</w:t>
      </w:r>
    </w:p>
    <w:p>
      <w:pPr>
        <w:jc w:val="both"/>
      </w:pPr>
      <w:r>
        <w:t>Table 4: Dynamic Shape Latency Benchmarks on Apple Silicon .................. 10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1. INTRODUCTION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1.1 Background</w:t>
      </w:r>
    </w:p>
    <w:p>
      <w:pPr>
        <w:jc w:val="both"/>
      </w:pPr>
      <w:r>
        <w:t>All-atom biomolecular structure prediction moved from a research problem to an</w:t>
      </w:r>
    </w:p>
    <w:p>
      <w:pPr>
        <w:jc w:val="both"/>
      </w:pPr>
      <w:r>
        <w:t>engineering one with AlphaFold [1], and extended to complexes with</w:t>
      </w:r>
    </w:p>
    <w:p>
      <w:pPr>
        <w:jc w:val="both"/>
      </w:pPr>
      <w:r>
        <w:t>AlphaFold-Multimer [2] and to general biomolecular interactions with AlphaFold 3</w:t>
      </w:r>
    </w:p>
    <w:p>
      <w:pPr>
        <w:jc w:val="both"/>
      </w:pPr>
      <w:r>
        <w:t>[3]. The open Boltz models [4], [5] reproduce much of that capability under a</w:t>
      </w:r>
    </w:p>
    <w:p>
      <w:pPr>
        <w:jc w:val="both"/>
      </w:pPr>
      <w:r>
        <w:t>permissive licence, which makes independent evaluation and modification</w:t>
      </w:r>
    </w:p>
    <w:p>
      <w:pPr>
        <w:jc w:val="both"/>
      </w:pPr>
      <w:r>
        <w:t>possible.</w:t>
      </w:r>
    </w:p>
    <w:p>
      <w:pPr>
        <w:jc w:val="both"/>
      </w:pPr>
      <w:r>
        <w:t>The cost, however, remains high. A single complex prediction involves a deep</w:t>
      </w:r>
    </w:p>
    <w:p>
      <w:pPr>
        <w:jc w:val="both"/>
      </w:pPr>
      <w:r>
        <w:t>trunk executed under several recycling iterations, triangular attention that is</w:t>
      </w:r>
    </w:p>
    <w:p>
      <w:pPr>
        <w:jc w:val="both"/>
      </w:pPr>
      <w:r>
        <w:t>quadratic in sequence length, and a diffusion sampler run for on the order of</w:t>
      </w:r>
    </w:p>
    <w:p>
      <w:pPr>
        <w:jc w:val="both"/>
      </w:pPr>
      <w:r>
        <w:t>200 steps. On a workstation without a datacentre GPU this is a minutes-to-hours</w:t>
      </w:r>
    </w:p>
    <w:p>
      <w:pPr>
        <w:jc w:val="both"/>
      </w:pPr>
      <w:r>
        <w:t>operation. Binder screening compounds the problem: a campaign ranks hundreds or</w:t>
      </w:r>
    </w:p>
    <w:p>
      <w:pPr>
        <w:jc w:val="both"/>
      </w:pPr>
      <w:r>
        <w:t>thousands of candidate sequences against one target, so the per-candidate cost</w:t>
      </w:r>
    </w:p>
    <w:p>
      <w:pPr>
        <w:jc w:val="both"/>
      </w:pPr>
      <w:r>
        <w:t>determines whether the method is usable at all.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1.2 Problem Statement</w:t>
      </w:r>
    </w:p>
    <w:p>
      <w:pPr>
        <w:jc w:val="both"/>
      </w:pPr>
      <w:r>
        <w:t>The problem addressed by this dissertation is whether the inference-efficiency</w:t>
      </w:r>
    </w:p>
    <w:p>
      <w:pPr>
        <w:jc w:val="both"/>
      </w:pPr>
      <w:r>
        <w:t>techniques developed for large language models can be transferred to</w:t>
      </w:r>
    </w:p>
    <w:p>
      <w:pPr>
        <w:jc w:val="both"/>
      </w:pPr>
      <w:r>
        <w:t>biomolecular structure prediction so that structure-based binder screening</w:t>
      </w:r>
    </w:p>
    <w:p>
      <w:pPr>
        <w:jc w:val="both"/>
      </w:pPr>
      <w:r>
        <w:t>becomes practical on edge hardware — specifically Apple Silicon — and, equally</w:t>
      </w:r>
    </w:p>
    <w:p>
      <w:pPr>
        <w:jc w:val="both"/>
      </w:pPr>
      <w:r>
        <w:t>importantly, whether the resulting system still measures what it claims to</w:t>
      </w:r>
    </w:p>
    <w:p>
      <w:pPr>
        <w:jc w:val="both"/>
      </w:pPr>
      <w:r>
        <w:t>measure.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1.3 Objectives</w:t>
      </w:r>
    </w:p>
    <w:p>
      <w:pPr>
        <w:jc w:val="both"/>
      </w:pPr>
      <w:r>
        <w:t>1. Port the Boltz inference path to Apple Silicon (Metal Performance Shaders)</w:t>
      </w:r>
    </w:p>
    <w:p>
      <w:pPr>
        <w:jc w:val="both"/>
      </w:pPr>
      <w:r>
        <w:t>with device-agnostic execution.</w:t>
      </w:r>
    </w:p>
    <w:p>
      <w:pPr>
        <w:jc w:val="both"/>
      </w:pPr>
      <w:r>
        <w:t>2. Reduce activation memory in the pair representation and the target-side</w:t>
      </w:r>
    </w:p>
    <w:p>
      <w:pPr>
        <w:jc w:val="both"/>
      </w:pPr>
      <w:r>
        <w:t>key-value cache.</w:t>
      </w:r>
    </w:p>
    <w:p>
      <w:pPr>
        <w:jc w:val="both"/>
      </w:pPr>
      <w:r>
        <w:t>3. Reduce sampler cost through classifier-free-guidance distillation and</w:t>
      </w:r>
    </w:p>
    <w:p>
      <w:pPr>
        <w:jc w:val="both"/>
      </w:pPr>
      <w:r>
        <w:t>speculative integration.</w:t>
      </w:r>
    </w:p>
    <w:p>
      <w:pPr>
        <w:jc w:val="both"/>
      </w:pPr>
      <w:r>
        <w:t>4. Build a distilled surrogate capable of ranking candidate binders on-device.</w:t>
      </w:r>
    </w:p>
    <w:p>
      <w:pPr>
        <w:jc w:val="both"/>
      </w:pPr>
      <w:r>
        <w:t xml:space="preserve">5. </w:t>
      </w:r>
      <w:r>
        <w:rPr>
          <w:b/>
        </w:rPr>
      </w:r>
      <w:r>
        <w:t>Validate each of the above against pretrained checkpoints and</w:t>
      </w:r>
    </w:p>
    <w:p>
      <w:pPr>
        <w:jc w:val="both"/>
      </w:pPr>
      <w:r>
        <w:t>experimentally determined structures, rather than against synthetic tensors.</w:t>
      </w:r>
      <w:r>
        <w:rPr>
          <w:b/>
        </w:rPr>
      </w:r>
    </w:p>
    <w:p>
      <w:pPr>
        <w:jc w:val="both"/>
      </w:pPr>
      <w:r>
        <w:t>Objective 5 is the one that distinguishes this work. It was added after the</w:t>
      </w:r>
    </w:p>
    <w:p>
      <w:pPr>
        <w:jc w:val="both"/>
      </w:pPr>
      <w:r>
        <w:t>component-level results proved far stronger than the end-to-end behaviour they</w:t>
      </w:r>
    </w:p>
    <w:p>
      <w:pPr>
        <w:jc w:val="both"/>
      </w:pPr>
      <w:r>
        <w:t>implied.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1.4 Literature Survey</w:t>
      </w:r>
    </w:p>
    <w:p>
      <w:pPr>
        <w:jc w:val="both"/>
      </w:pPr>
      <w:r>
        <w:rPr>
          <w:b/>
        </w:rPr>
        <w:t>Structure prediction.</w:t>
      </w:r>
      <w:r>
        <w:t xml:space="preserve"> AlphaFold [1] established the evolutionary-coupling</w:t>
      </w:r>
    </w:p>
    <w:p>
      <w:pPr>
        <w:jc w:val="both"/>
      </w:pPr>
      <w:r>
        <w:t>plus structure-module architecture that later systems refine. AlphaFold-Multimer</w:t>
      </w:r>
    </w:p>
    <w:p>
      <w:pPr>
        <w:jc w:val="both"/>
      </w:pPr>
      <w:r>
        <w:t>[2] extended it to complexes and introduced the interface predicted TM-score</w:t>
      </w:r>
    </w:p>
    <w:p>
      <w:pPr>
        <w:jc w:val="both"/>
      </w:pPr>
      <w:r>
        <w:t>(ipTM), a confidence measure derived from the TM-score formalism [18]. AlphaFold</w:t>
      </w:r>
    </w:p>
    <w:p>
      <w:pPr>
        <w:jc w:val="both"/>
      </w:pPr>
      <w:r>
        <w:t>3 [3] generalised to nucleic acids and ligands using a diffusion decoder. Boltz-1</w:t>
      </w:r>
    </w:p>
    <w:p>
      <w:pPr>
        <w:jc w:val="both"/>
      </w:pPr>
      <w:r>
        <w:t>[4] is an open reimplementation of that class of model, and Boltz-2 [5] adds an</w:t>
      </w:r>
    </w:p>
    <w:p>
      <w:pPr>
        <w:jc w:val="both"/>
      </w:pPr>
      <w:r>
        <w:t>affinity head aimed at protein–ligand binding. Multiple sequence alignments,</w:t>
      </w:r>
    </w:p>
    <w:p>
      <w:pPr>
        <w:jc w:val="both"/>
      </w:pPr>
      <w:r>
        <w:t>which dominate input preparation cost, are generated in practice by MMseqs2-based</w:t>
      </w:r>
    </w:p>
    <w:p>
      <w:pPr>
        <w:jc w:val="both"/>
      </w:pPr>
      <w:r>
        <w:t>pipelines [17] as popularised by ColabFold [16].</w:t>
      </w:r>
    </w:p>
    <w:p>
      <w:pPr>
        <w:jc w:val="both"/>
      </w:pPr>
      <w:r>
        <w:rPr>
          <w:b/>
        </w:rPr>
        <w:t>Binder design.</w:t>
      </w:r>
      <w:r>
        <w:t xml:space="preserve"> Generative approaches such as RFdiffusion [21] and</w:t>
      </w:r>
    </w:p>
    <w:p>
      <w:pPr>
        <w:jc w:val="both"/>
      </w:pPr>
      <w:r>
        <w:t>sequence-design methods such as ProteinMPNN [22] produce candidate binders in</w:t>
      </w:r>
    </w:p>
    <w:p>
      <w:pPr>
        <w:jc w:val="both"/>
      </w:pPr>
      <w:r>
        <w:t xml:space="preserve">volume. The bottleneck then becomes </w:t>
      </w:r>
      <w:r>
        <w:rPr>
          <w:i/>
        </w:rPr>
        <w:t>ranking</w:t>
      </w:r>
      <w:r>
        <w:t>: deciding which candidates merit</w:t>
      </w:r>
    </w:p>
    <w:p>
      <w:pPr>
        <w:jc w:val="both"/>
      </w:pPr>
      <w:r>
        <w:t>experimental follow-up. In practice this ranking is frequently performed with</w:t>
      </w:r>
    </w:p>
    <w:p>
      <w:pPr>
        <w:jc w:val="both"/>
      </w:pPr>
      <w:r>
        <w:t>folding-model confidence, most often ipTM. Section 7 of this report examines</w:t>
      </w:r>
    </w:p>
    <w:p>
      <w:pPr>
        <w:jc w:val="both"/>
      </w:pPr>
      <w:r>
        <w:t>that practice directly.</w:t>
      </w:r>
    </w:p>
    <w:p>
      <w:pPr>
        <w:jc w:val="both"/>
      </w:pPr>
      <w:r>
        <w:rPr>
          <w:b/>
        </w:rPr>
        <w:t>Efficiency techniques.</w:t>
      </w:r>
      <w:r>
        <w:t xml:space="preserve"> Low-rank factorisation of weight matrices, introduced</w:t>
      </w:r>
    </w:p>
    <w:p>
      <w:pPr>
        <w:jc w:val="both"/>
      </w:pPr>
      <w:r>
        <w:t>for adaptation as LoRA [6], underlies the low-rank pair representation used</w:t>
      </w:r>
    </w:p>
    <w:p>
      <w:pPr>
        <w:jc w:val="both"/>
      </w:pPr>
      <w:r>
        <w:t>here; the tensor-decomposition machinery for projecting an existing dense</w:t>
      </w:r>
    </w:p>
    <w:p>
      <w:pPr>
        <w:jc w:val="both"/>
      </w:pPr>
      <w:r>
        <w:t>operator onto a low-rank form is the CANDECOMP/PARAFAC family surveyed by Kolda</w:t>
      </w:r>
    </w:p>
    <w:p>
      <w:pPr>
        <w:jc w:val="both"/>
      </w:pPr>
      <w:r>
        <w:t>and Bader [14]. Latent key-value caching follows the multi-head latent attention</w:t>
      </w:r>
    </w:p>
    <w:p>
      <w:pPr>
        <w:jc w:val="both"/>
      </w:pPr>
      <w:r>
        <w:t>of DeepSeek-V2 [10]. Sequence-parallel attention with exact numerics follows the</w:t>
      </w:r>
    </w:p>
    <w:p>
      <w:pPr>
        <w:jc w:val="both"/>
      </w:pPr>
      <w:r>
        <w:t>ring-attention construction [11]. On the sampler side, classifier-free guidance</w:t>
      </w:r>
    </w:p>
    <w:p>
      <w:pPr>
        <w:jc w:val="both"/>
      </w:pPr>
      <w:r>
        <w:t>[8] costs two network evaluations per step, which distillation [19] can collapse</w:t>
      </w:r>
    </w:p>
    <w:p>
      <w:pPr>
        <w:jc w:val="both"/>
      </w:pPr>
      <w:r>
        <w:t>to one; speculative decoding [7] and consistency models [9] attack the number of</w:t>
      </w:r>
    </w:p>
    <w:p>
      <w:pPr>
        <w:jc w:val="both"/>
      </w:pPr>
      <w:r>
        <w:t>steps itself. Preference alignment for sequence policies follows DPO [13] and its</w:t>
      </w:r>
    </w:p>
    <w:p>
      <w:pPr>
        <w:jc w:val="both"/>
      </w:pPr>
      <w:r>
        <w:t>reference-free variant SimPO [12].</w:t>
      </w:r>
    </w:p>
    <w:p>
      <w:pPr>
        <w:jc w:val="both"/>
      </w:pPr>
      <w:r>
        <w:rPr>
          <w:b/>
        </w:rPr>
        <w:t>Gap addressed.</w:t>
      </w:r>
      <w:r>
        <w:t xml:space="preserve"> The efficiency literature reports savings on the operator or</w:t>
      </w:r>
    </w:p>
    <w:p>
      <w:pPr>
        <w:jc w:val="both"/>
      </w:pPr>
      <w:r>
        <w:t>the microbenchmark. What is comparatively rarely reported is whether a</w:t>
      </w:r>
    </w:p>
    <w:p>
      <w:pPr>
        <w:jc w:val="both"/>
      </w:pPr>
      <w:r>
        <w:t xml:space="preserve">substituted operator remains faithful </w:t>
      </w:r>
      <w:r>
        <w:rPr>
          <w:i/>
        </w:rPr>
        <w:t>on pretrained weights</w:t>
      </w:r>
      <w:r>
        <w:t>, and whether the</w:t>
      </w:r>
    </w:p>
    <w:p>
      <w:pPr>
        <w:jc w:val="both"/>
      </w:pPr>
      <w:r>
        <w:t>downstream scoring signal is stable enough to support the decisions it is used</w:t>
      </w:r>
    </w:p>
    <w:p>
      <w:pPr>
        <w:jc w:val="both"/>
      </w:pPr>
      <w:r>
        <w:t>for. This dissertation measures both, using the PDB [15] as the source of</w:t>
      </w:r>
    </w:p>
    <w:p>
      <w:pPr>
        <w:jc w:val="both"/>
      </w:pPr>
      <w:r>
        <w:t>experimentally determined positives — including the MDM2–p53 complex [20] among</w:t>
      </w:r>
    </w:p>
    <w:p>
      <w:pPr>
        <w:jc w:val="both"/>
      </w:pPr>
      <w:r>
        <w:t>others.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1.5 Scope and Limitations</w:t>
      </w:r>
    </w:p>
    <w:p>
      <w:pPr>
        <w:jc w:val="both"/>
      </w:pPr>
      <w:r>
        <w:t>The scope is inference, not training: no frontier-scale training run was</w:t>
      </w:r>
    </w:p>
    <w:p>
      <w:pPr>
        <w:jc w:val="both"/>
      </w:pPr>
      <w:r>
        <w:t>performed, and the low-rank layer is therefore evaluated as a substitution onto</w:t>
      </w:r>
    </w:p>
    <w:p>
      <w:pPr>
        <w:jc w:val="both"/>
      </w:pPr>
      <w:r>
        <w:t>released weights rather than as a component of a model trained around it.</w:t>
      </w:r>
    </w:p>
    <w:p>
      <w:pPr>
        <w:jc w:val="both"/>
      </w:pPr>
      <w:r>
        <w:t>Three limitations are stated at the outset because they bound every number in</w:t>
      </w:r>
    </w:p>
    <w:p>
      <w:pPr>
        <w:jc w:val="both"/>
      </w:pPr>
      <w:r>
        <w:t>this report:</w:t>
      </w:r>
    </w:p>
    <w:p>
      <w:pPr>
        <w:jc w:val="both"/>
      </w:pPr>
      <w:r>
        <w:t xml:space="preserve">1. </w:t>
      </w:r>
      <w:r>
        <w:rPr>
          <w:b/>
        </w:rPr>
        <w:t>Reduced inference settings.</w:t>
      </w:r>
      <w:r>
        <w:t xml:space="preserve"> Folding throughout uses 10 sampling steps</w:t>
      </w:r>
    </w:p>
    <w:p>
      <w:pPr>
        <w:jc w:val="both"/>
      </w:pPr>
      <w:r>
        <w:t>(Boltz default 200), 1 recycling iteration (default 3) and MSA depth 32</w:t>
      </w:r>
    </w:p>
    <w:p>
      <w:pPr>
        <w:jc w:val="both"/>
      </w:pPr>
      <w:r>
        <w:t>(default 8192). These were forced by CPU-only execution on a laptop. The</w:t>
      </w:r>
    </w:p>
    <w:p>
      <w:pPr>
        <w:jc w:val="both"/>
      </w:pPr>
      <w:r>
        <w:t>settings confound is stated, not resolved.</w:t>
      </w:r>
    </w:p>
    <w:p>
      <w:pPr>
        <w:jc w:val="both"/>
      </w:pPr>
      <w:r>
        <w:t xml:space="preserve">2. </w:t>
      </w:r>
      <w:r>
        <w:rPr>
          <w:b/>
        </w:rPr>
        <w:t>Panel size.</w:t>
      </w:r>
      <w:r>
        <w:t xml:space="preserve"> The binder benchmark uses 22 receptors. This was sized by a</w:t>
      </w:r>
    </w:p>
    <w:p>
      <w:pPr>
        <w:jc w:val="both"/>
      </w:pPr>
      <w:r>
        <w:t>power analysis, but it remains small relative to the generality of the claim.</w:t>
      </w:r>
    </w:p>
    <w:p>
      <w:pPr>
        <w:jc w:val="both"/>
      </w:pPr>
      <w:r>
        <w:t xml:space="preserve">3. </w:t>
      </w:r>
      <w:r>
        <w:rPr>
          <w:b/>
        </w:rPr>
        <w:t>Measurement noise.</w:t>
      </w:r>
      <w:r>
        <w:t xml:space="preserve"> Folds are unseeded, and Section 7.5 quantifies what</w:t>
      </w:r>
    </w:p>
    <w:p>
      <w:pPr>
        <w:jc w:val="both"/>
      </w:pPr>
      <w:r>
        <w:t>that costs. Per-complex results are not reproducible at these settings.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1.6 Organisation of the Report</w:t>
      </w:r>
    </w:p>
    <w:p>
      <w:pPr>
        <w:jc w:val="both"/>
      </w:pPr>
      <w:r>
        <w:t>Section 2 describes the modules implemented. Section 3 gives the pipeline and</w:t>
      </w:r>
    </w:p>
    <w:p>
      <w:pPr>
        <w:jc w:val="both"/>
      </w:pPr>
      <w:r>
        <w:t>methodology. Section 4 reports component-level specifications and benchmarks.</w:t>
      </w:r>
    </w:p>
    <w:p>
      <w:pPr>
        <w:jc w:val="both"/>
      </w:pPr>
      <w:r>
        <w:t>Section 5 covers design considerations arising from the Apple Silicon port.</w:t>
      </w:r>
    </w:p>
    <w:p>
      <w:pPr>
        <w:jc w:val="both"/>
      </w:pPr>
      <w:r>
        <w:t>Section 6 covers verification and testing, including two defects found in the</w:t>
      </w:r>
    </w:p>
    <w:p>
      <w:pPr>
        <w:jc w:val="both"/>
      </w:pPr>
      <w:r>
        <w:t>test infrastructure itself. Section 7 reports the end-to-end measurements</w:t>
      </w:r>
    </w:p>
    <w:p>
      <w:pPr>
        <w:jc w:val="both"/>
      </w:pPr>
      <w:r>
        <w:t>against pretrained weights, which contains the substantive findings of this</w:t>
      </w:r>
    </w:p>
    <w:p>
      <w:pPr>
        <w:jc w:val="both"/>
      </w:pPr>
      <w:r>
        <w:t>work. Section 8 draws conclusions and recommendations, and Section 9 sets out</w:t>
      </w:r>
    </w:p>
    <w:p>
      <w:pPr>
        <w:jc w:val="both"/>
      </w:pPr>
      <w:r>
        <w:t>the remaining plan.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2. MODULES IN BOLTZ-FAST</w:t>
      </w:r>
    </w:p>
    <w:p>
      <w:pPr>
        <w:jc w:val="both"/>
      </w:pPr>
      <w:r>
        <w:t>The Boltz-Fast engine accelerates structures generation and reduces hardware footprint by implementing targeted algorithmic optimizations. The core architecture is shown in Figure 1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880"/>
            <w:shd w:fill="ebf8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0C2340"/>
                <w:sz w:val="20"/>
              </w:rPr>
              <w:t>1. Memory &amp; Parallelism</w:t>
              <w:br/>
            </w:r>
            <w:r>
              <w:rPr>
                <w:sz w:val="17"/>
              </w:rPr>
              <w:t>MLA KV target caching (87.5% memory reduction). Fold-CP sharding and Low-Rank Pair autograd (99.9% VRAM savings).</w:t>
            </w:r>
          </w:p>
        </w:tc>
        <w:tc>
          <w:tcPr>
            <w:tcW w:type="dxa" w:w="43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ABBDD0"/>
                <w:sz w:val="28"/>
              </w:rPr>
              <w:br/>
              <w:t>➔</w:t>
            </w:r>
          </w:p>
        </w:tc>
        <w:tc>
          <w:tcPr>
            <w:tcW w:type="dxa" w:w="2880"/>
            <w:shd w:fill="f0fff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1A365D"/>
                <w:sz w:val="20"/>
              </w:rPr>
              <w:t>2. Accelerated Denoising</w:t>
              <w:br/>
            </w:r>
            <w:r>
              <w:rPr>
                <w:sz w:val="17"/>
              </w:rPr>
              <w:t>CFG Distillation (single-pass student) and Speculative Flow solver (3.85x speedup). Post-diffusion ResNet coordinate refinement.</w:t>
            </w:r>
          </w:p>
        </w:tc>
        <w:tc>
          <w:tcPr>
            <w:tcW w:type="dxa" w:w="432"/>
            <w:tcMar>
              <w:top w:w="100" w:type="dxa"/>
              <w:bottom w:w="10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b/>
                <w:color w:val="ABBDD0"/>
                <w:sz w:val="28"/>
              </w:rPr>
              <w:br/>
              <w:t>➔</w:t>
            </w:r>
          </w:p>
        </w:tc>
        <w:tc>
          <w:tcPr>
            <w:tcW w:type="dxa" w:w="2880"/>
            <w:shd w:fill="fffaf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2C5282"/>
                <w:sz w:val="20"/>
              </w:rPr>
              <w:t>3. Preference Alignment</w:t>
              <w:br/>
            </w:r>
            <w:r>
              <w:rPr>
                <w:sz w:val="17"/>
              </w:rPr>
              <w:t>Reference-free SimPO loss tuning saves 50% VRAM; g-DPO best-vs-all clustering scales linearly O(M).</w:t>
            </w:r>
          </w:p>
        </w:tc>
      </w:tr>
    </w:tbl>
    <w:p/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1: Core Modules in Boltz-Fast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a) Multi-Head Latent Attention (MLA) Cache</w:t>
      </w:r>
    </w:p>
    <w:p>
      <w:pPr>
        <w:jc w:val="both"/>
      </w:pPr>
      <w:r>
        <w:t xml:space="preserve">Target receptor representations are static during binder screening. Instead of caching raw keys and values of shape </w:t>
      </w:r>
      <w:r>
        <w:rPr>
          <w:rFonts w:ascii="Courier New" w:hAnsi="Courier New"/>
          <w:sz w:val="19"/>
          <w:shd w:fill="f7fafc"/>
        </w:rPr>
        <w:t>[L_target, D]</w:t>
      </w:r>
      <w:r>
        <w:t>, we down-project them into a compressed latent space:</w:t>
      </w:r>
    </w:p>
    <w:p>
      <w:pPr>
        <w:jc w:val="both"/>
      </w:pP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D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</w:p>
    <w:p>
      <w:pPr>
        <w:jc w:val="both"/>
      </w:pPr>
      <w:r>
        <w:t xml:space="preserve">where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sSub>
              <m:e>
                <m:r>
                  <m:t>L</m:t>
                </m:r>
              </m:e>
              <m:sub>
                <m:r>
                  <m:rPr>
                    <m:nor/>
                    <m:sty m:val="p"/>
                  </m:rPr>
                  <m:t>target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latent</m:t>
                </m:r>
              </m:sub>
            </m:sSub>
          </m:sup>
        </m:sSup>
      </m:oMath>
      <w:r>
        <w:t>. Keys and values are reconstructed dynamically:</w:t>
      </w:r>
    </w:p>
    <w:p>
      <w:pPr>
        <w:jc w:val="both"/>
      </w:pPr>
      <m:oMath>
        <m:r>
          <m:t>K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U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,</m:t>
        </m:r>
        <m:r>
          <m:t> </m:t>
        </m:r>
        <m:r>
          <m:t>V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U</m:t>
            </m:r>
            <m:r>
              <m:t>V</m:t>
            </m:r>
          </m:sub>
        </m:sSub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target</m:t>
            </m:r>
          </m:sub>
        </m:sSub>
      </m:oMath>
    </w:p>
    <w:p>
      <w:pPr>
        <w:jc w:val="both"/>
      </w:pPr>
      <w:r>
        <w:t xml:space="preserve">This reduces cached state sizes from </w:t>
      </w:r>
      <m:oMath>
        <m:r>
          <m:t>2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r>
          <m:t>D</m:t>
        </m:r>
      </m:oMath>
      <w:r>
        <w:t xml:space="preserve"> to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latent</m:t>
            </m:r>
          </m:sub>
        </m:sSub>
      </m:oMath>
      <w:r>
        <w:t xml:space="preserve">, obtaining an </w:t>
      </w:r>
      <w:r>
        <w:rPr>
          <w:b/>
        </w:rPr>
        <w:t>87.5% memory saving</w:t>
      </w:r>
      <w:r>
        <w:t xml:space="preserve"> at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latent</m:t>
            </m:r>
          </m:sub>
        </m:sSub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=</m:t>
        </m:r>
        <m:r>
          <m:t>128</m:t>
        </m:r>
      </m:oMath>
      <w:r>
        <w:t>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b) Fold-CP Sequence Parallelism</w:t>
      </w:r>
    </w:p>
    <w:p>
      <w:pPr>
        <w:jc w:val="both"/>
      </w:pPr>
      <w:r>
        <w:t xml:space="preserve">We partition the sequence dimension into shards of size </w:t>
      </w:r>
      <m:oMath>
        <m:r>
          <m:t>N</m:t>
        </m:r>
        <m:r>
          <m:rPr>
            <m:sty m:val="p"/>
          </m:rPr>
          <m:t>/</m:t>
        </m:r>
        <m:r>
          <m:t>P</m:t>
        </m:r>
      </m:oMath>
      <w:r>
        <w:t xml:space="preserve"> across </w:t>
      </w:r>
      <m:oMath>
        <m:r>
          <m:t>P</m:t>
        </m:r>
      </m:oMath>
      <w:r>
        <w:t xml:space="preserve"> GPUs. The ranks compute self-attention locally and pass Key/Value shards along a virtual ring using Online Softmax to maintain exact numerical parity:</w:t>
      </w:r>
    </w:p>
    <w:p>
      <w:pPr>
        <w:jc w:val="both"/>
      </w:pP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</w:p>
    <w:p>
      <w:pPr>
        <w:jc w:val="both"/>
      </w:pP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new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old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old</m:t>
            </m:r>
          </m:sub>
        </m:sSub>
        <m:r>
          <m:rPr>
            <m:sty m:val="p"/>
          </m:rPr>
          <m:t>+</m:t>
        </m:r>
        <m:sSup>
          <m:e>
            <m:r>
              <m:t>e</m:t>
            </m:r>
          </m:e>
          <m:sup>
            <m:sSub>
              <m:e>
                <m:r>
                  <m:t>S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new</m:t>
                </m:r>
              </m:sub>
            </m:sSub>
          </m:sup>
        </m:sSup>
      </m:oMath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c) 2D Ring Triangular Multiplication Unit (TMU)</w:t>
      </w:r>
    </w:p>
    <w:p>
      <w:pPr>
        <w:jc w:val="both"/>
      </w:pPr>
      <w:r>
        <w:t xml:space="preserve">Triangular updates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A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⋅</m:t>
        </m:r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are split over a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grid. Shifting row and column sub-blocks along grid rings reduces local memory footprint from quadratic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to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P</m:t>
        </m:r>
        <m:r>
          <m:rPr>
            <m:sty m:val="p"/>
          </m:rPr>
          <m:t>)</m:t>
        </m:r>
      </m:oMath>
      <w:r>
        <w:t>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d) Low-Rank Pair Representation (OPM Replacement) [M3]</w:t>
      </w:r>
    </w:p>
    <w:p>
      <w:pPr>
        <w:jc w:val="both"/>
      </w:pPr>
      <w:r>
        <w:t xml:space="preserve">Outer Product Mean (OPM) layers project sequence matrices to </w:t>
      </w:r>
      <m:oMath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</m:oMath>
      <w:r>
        <w:t xml:space="preserve"> spaces, creating an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  <m:r>
          <m:rPr>
            <m:sty m:val="p"/>
          </m:rPr>
          <m:t>)</m:t>
        </m:r>
      </m:oMath>
      <w:r>
        <w:t xml:space="preserve"> memory bottleneck. We implement a low-rank decomposition using </w:t>
      </w:r>
      <w:r>
        <w:rPr>
          <w:rFonts w:ascii="Courier New" w:hAnsi="Courier New"/>
          <w:sz w:val="19"/>
          <w:shd w:fill="f7fafc"/>
        </w:rPr>
        <w:t>LowRankPairUpdater</w:t>
      </w:r>
      <w:r>
        <w:t>:</w:t>
      </w:r>
    </w:p>
    <w:p>
      <w:pPr>
        <w:jc w:val="both"/>
      </w:pPr>
      <m:oMath>
        <m:sSub>
          <m:e>
            <m:r>
              <m:t>U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</m:sub>
            </m:sSub>
          </m:e>
        </m:nary>
        <m:sSub>
          <m:e>
            <m:r>
              <m:t>Y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j</m:t>
            </m:r>
            <m:r>
              <m:rPr>
                <m:sty m:val="p"/>
              </m:rPr>
              <m:t>,</m:t>
            </m:r>
            <m:r>
              <m:t>r</m:t>
            </m:r>
          </m:sub>
        </m:sSub>
        <m:sSub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</m:sub>
        </m:sSub>
      </m:oMath>
    </w:p>
    <w:p>
      <w:pPr>
        <w:jc w:val="both"/>
      </w:pPr>
      <w:r>
        <w:t xml:space="preserve">where sequence projections </w:t>
      </w:r>
      <m:oMath>
        <m:r>
          <m:t>X</m:t>
        </m:r>
      </m:oMath>
      <w:r>
        <w:t xml:space="preserve"> and </w:t>
      </w:r>
      <m:oMath>
        <m:r>
          <m:t>Y</m:t>
        </m:r>
      </m:oMath>
      <w:r>
        <w:t xml:space="preserve"> have a low rank </w:t>
      </w:r>
      <m:oMath>
        <m:r>
          <m:t>r</m:t>
        </m:r>
        <m:r>
          <m:rPr>
            <m:sty m:val="p"/>
          </m:rPr>
          <m:t>≪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pair</m:t>
            </m:r>
          </m:sub>
        </m:sSub>
      </m:oMath>
      <w:r>
        <w:t>. A custom autograd backward pass computes gradients on-the-fly, bypassing quadratic activation storage and preventing Metal Out-Of-Memory (OOM) errors.</w:t>
      </w:r>
    </w:p>
    <w:p>
      <w:pPr>
        <w:jc w:val="both"/>
      </w:pPr>
      <w:r>
        <w:t>The implementation is numerically verified against the reference OPM and</w:t>
      </w:r>
    </w:p>
    <w:p>
      <w:pPr>
        <w:jc w:val="both"/>
      </w:pPr>
      <w:r>
        <w:t>mutation-tested. Its parameters do not correspond to those of a released</w:t>
      </w:r>
    </w:p>
    <w:p>
      <w:pPr>
        <w:jc w:val="both"/>
      </w:pPr>
      <w:r>
        <w:t xml:space="preserve">checkpoint, so it is selected at runtime by the </w:t>
      </w:r>
      <w:r>
        <w:rPr>
          <w:rFonts w:ascii="Courier New" w:hAnsi="Courier New"/>
          <w:sz w:val="19"/>
          <w:shd w:fill="f7fafc"/>
        </w:rPr>
        <w:t>BOLTZMAC_OPM</w:t>
      </w:r>
      <w:r>
        <w:t xml:space="preserve"> environment</w:t>
      </w:r>
    </w:p>
    <w:p>
      <w:pPr>
        <w:jc w:val="both"/>
      </w:pPr>
      <w:r>
        <w:t>variable, defaulting to the stock implementation. Section 7.1 reports the</w:t>
      </w:r>
    </w:p>
    <w:p>
      <w:pPr>
        <w:jc w:val="both"/>
      </w:pPr>
      <w:r>
        <w:t>measured limits of substituting it into a pretrained model.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e) Classifier-Free Guidance (CFG) Distillation [M4]</w:t>
      </w:r>
    </w:p>
    <w:p>
      <w:pPr>
        <w:jc w:val="both"/>
      </w:pPr>
      <w:r>
        <w:t xml:space="preserve">Standard CFG requires evaluating the score network twice per denoising step (conditional and unconditional). We implement a distilled student network </w:t>
      </w:r>
      <w:r>
        <w:rPr>
          <w:rFonts w:ascii="Courier New" w:hAnsi="Courier New"/>
          <w:sz w:val="19"/>
          <w:shd w:fill="f7fafc"/>
        </w:rPr>
        <w:t>CFGDistilledVectorField</w:t>
      </w:r>
      <w:r>
        <w:t xml:space="preserve"> that directly accepts a guidance scale </w:t>
      </w:r>
      <m:oMath>
        <m:r>
          <m:t>s</m:t>
        </m:r>
      </m:oMath>
      <w:r>
        <w:t>:</w:t>
      </w:r>
    </w:p>
    <w:p>
      <w:pPr>
        <w:jc w:val="both"/>
      </w:pP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guided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cond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uncond</m:t>
            </m:r>
          </m:sub>
        </m:sSub>
        <m:r>
          <m:rPr>
            <m:sty m:val="p"/>
          </m:rPr>
          <m:t>)</m:t>
        </m:r>
      </m:oMath>
    </w:p>
    <w:p>
      <w:pPr>
        <w:jc w:val="both"/>
      </w:pPr>
      <w:r>
        <w:t>During training, we minimize the Huber loss between student predictions and teacher outputs across random scales. This allows the student to run in a single forward pass, cutting diffusion latency in half.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f) Neural Coordinate Refinement [M5]</w:t>
      </w:r>
    </w:p>
    <w:p>
      <w:pPr>
        <w:jc w:val="both"/>
      </w:pPr>
      <w:r>
        <w:t xml:space="preserve">Diffusion loops can produce structures with biophysical violations, such as incorrect adjacent </w:t>
      </w:r>
      <m:oMath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bond lengths (ideal: 3.80 Å) and steric clashes. We introduce </w:t>
      </w:r>
      <w:r>
        <w:rPr>
          <w:rFonts w:ascii="Courier New" w:hAnsi="Courier New"/>
          <w:sz w:val="19"/>
          <w:shd w:fill="f7fafc"/>
        </w:rPr>
        <w:t>ResNetCoordinateRefiner</w:t>
      </w:r>
      <w:r>
        <w:t>, a 3-block MLP with LayerNorm and residual updates. It processes final diffusion coordinates and raw sequence features to output clean, corrected 3D coordinates.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g) Speculative Flow Matching Sampler</w:t>
      </w:r>
    </w:p>
    <w:p>
      <w:pPr>
        <w:jc w:val="both"/>
      </w:pPr>
      <w:r>
        <w:t xml:space="preserve">Speculative sampling uses a lightweight </w:t>
      </w:r>
      <w:r>
        <w:rPr>
          <w:b/>
        </w:rPr>
        <w:t>Draft model</w:t>
      </w:r>
      <w:r>
        <w:t xml:space="preserve"> to project </w:t>
      </w:r>
      <m:oMath>
        <m:r>
          <m:t>K</m:t>
        </m:r>
      </m:oMath>
      <w:r>
        <w:t xml:space="preserve"> lookahead integration steps:</w:t>
      </w:r>
    </w:p>
    <w:p>
      <w:pPr>
        <w:jc w:val="both"/>
      </w:pP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K</m:t>
            </m:r>
          </m:sub>
        </m:sSub>
      </m:oMath>
    </w:p>
    <w:p>
      <w:pPr>
        <w:jc w:val="both"/>
      </w:pPr>
      <w:r>
        <w:t xml:space="preserve">The heavy </w:t>
      </w:r>
      <w:r>
        <w:rPr>
          <w:b/>
        </w:rPr>
        <w:t>Target model</w:t>
      </w:r>
      <w:r>
        <w:t xml:space="preserve"> evaluates these states in parallel. If the discrepancy is within </w:t>
      </w:r>
      <m:oMath>
        <m:r>
          <m:t>ϵ</m:t>
        </m:r>
      </m:oMath>
      <w:r>
        <w:t>:</w:t>
      </w:r>
    </w:p>
    <w:p>
      <w:pPr>
        <w:jc w:val="both"/>
      </w:pPr>
      <m:oMath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target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draft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t>ϵ</m:t>
        </m:r>
      </m:oMath>
    </w:p>
    <w:p>
      <w:pPr>
        <w:jc w:val="both"/>
      </w:pPr>
      <w:r>
        <w:t>the steps are accepted, skipping expensive target evaluations.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h) Reference-Free SimPO Loss Tuning</w:t>
      </w:r>
    </w:p>
    <w:p>
      <w:pPr>
        <w:jc w:val="both"/>
      </w:pPr>
      <w:r>
        <w:t>SimPO directly aligns sequence policies without the need for a frozen reference model, optimizing a length-normalized margin loss:</w:t>
      </w:r>
    </w:p>
    <w:p>
      <w:pPr>
        <w:jc w:val="both"/>
      </w:pP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rPr>
                <m:nor/>
                <m:sty m:val="p"/>
              </m:rPr>
              <m:t>SimPO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σ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β</m:t>
                </m:r>
              </m:num>
              <m:den>
                <m:sSub>
                  <m:e>
                    <m:r>
                      <m:t>L</m:t>
                    </m:r>
                  </m:e>
                  <m:sub>
                    <m:r>
                      <m:t>w</m:t>
                    </m:r>
                  </m:sub>
                </m:sSub>
              </m:den>
            </m:f>
            <m:r>
              <m:rPr>
                <m:sty m:val="p"/>
              </m:rPr>
              <m:t>log</m:t>
            </m:r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w</m:t>
                </m:r>
              </m:sub>
            </m:sSub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β</m:t>
                </m:r>
              </m:num>
              <m:den>
                <m:sSub>
                  <m:e>
                    <m:r>
                      <m:t>L</m:t>
                    </m:r>
                  </m:e>
                  <m:sub>
                    <m:r>
                      <m:t>l</m:t>
                    </m:r>
                  </m:sub>
                </m:sSub>
              </m:den>
            </m:f>
            <m:r>
              <m:rPr>
                <m:sty m:val="p"/>
              </m:rPr>
              <m:t>log</m:t>
            </m:r>
            <m:sSub>
              <m:e>
                <m:r>
                  <m:t>π</m:t>
                </m:r>
              </m:e>
              <m:sub>
                <m:r>
                  <m:t>θ</m:t>
                </m:r>
              </m:sub>
            </m:sSub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jc w:val="both"/>
      </w:pPr>
      <w:r>
        <w:t xml:space="preserve">where </w:t>
      </w:r>
      <m:oMath>
        <m:sSub>
          <m:e>
            <m:r>
              <m:t>y</m:t>
            </m:r>
          </m:e>
          <m:sub>
            <m:r>
              <m:t>w</m:t>
            </m:r>
          </m:sub>
        </m:sSub>
      </m:oMath>
      <w:r>
        <w:t xml:space="preserve"> and </w:t>
      </w:r>
      <m:oMath>
        <m:sSub>
          <m:e>
            <m:r>
              <m:t>y</m:t>
            </m:r>
          </m:e>
          <m:sub>
            <m:r>
              <m:t>l</m:t>
            </m:r>
          </m:sub>
        </m:sSub>
      </m:oMath>
      <w:r>
        <w:t xml:space="preserve"> are the preferred and dispreferred sequences, saving </w:t>
      </w:r>
      <w:r>
        <w:rPr>
          <w:b/>
        </w:rPr>
        <w:t>50% VRAM</w:t>
      </w:r>
      <w:r>
        <w:t xml:space="preserve"> during fine-tuning.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i) g-DPO Linear Preference Alignment</w:t>
      </w:r>
    </w:p>
    <w:p>
      <w:pPr>
        <w:jc w:val="both"/>
      </w:pPr>
      <w:r>
        <w:t xml:space="preserve">Compares candidate sequences using a </w:t>
      </w:r>
      <w:r>
        <w:rPr>
          <w:rFonts w:ascii="Courier New" w:hAnsi="Courier New"/>
          <w:sz w:val="19"/>
          <w:shd w:fill="f7fafc"/>
        </w:rPr>
        <w:t>"best_vs_all"</w:t>
      </w:r>
      <w:r>
        <w:t xml:space="preserve"> strategy inside Union Mask Clusters. This reduces alignment comparison complexity from quadratic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to linear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where </w:t>
      </w:r>
      <m:oMath>
        <m:r>
          <m:t>M</m:t>
        </m:r>
      </m:oMath>
      <w:r>
        <w:t xml:space="preserve"> is the number of candidates.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3. FUNCTIONAL BLOCK DIAGRAM &amp; METHODOLOGY</w:t>
      </w:r>
    </w:p>
    <w:p>
      <w:pPr>
        <w:jc w:val="both"/>
      </w:pPr>
      <w:r>
        <w:t>The system integrates context preparation, memory-efficient representation, speculative sampling, and post-diffusion coordinate refinement into a unified pipeline: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1. CONTEXT &amp; MEMORY OPTIMIZATION             │</w:t>
              <w:br/>
              <w:t xml:space="preserve">                  │    - MLA Latent Cache: Target features       │</w:t>
              <w:br/>
              <w:t xml:space="preserve">                  │    - Low-Rank Pair Updater: 99.9% VRAM save  │</w:t>
              <w:br/>
              <w:t xml:space="preserve">                  │    - Fold-CP / Ring Attention sharding      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2. ACCELERATED GENERATIVE DIFFUSION          │</w:t>
              <w:br/>
              <w:t xml:space="preserve">                  │    - CFG Distilled Single-Pass Inference     │</w:t>
              <w:br/>
              <w:t xml:space="preserve">                  │    - Speculative Flow ODE: K lookahead steps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3. BIOPHYSICAL STRUCTURAL CLEANUP            │</w:t>
              <w:br/>
              <w:t xml:space="preserve">                  │    - ResNet Coordinate Refiner               │</w:t>
              <w:br/>
              <w:t xml:space="preserve">                  │    - CA-CA bond length projection (3.80 Å)   │</w:t>
              <w:br/>
              <w:t xml:space="preserve">                  └──────────────────────┬───────────────────────┘</w:t>
              <w:br/>
              <w:t xml:space="preserve">                                         ▼</w:t>
              <w:br/>
              <w:t xml:space="preserve">                  ┌──────────────────────────────────────────────┐</w:t>
              <w:br/>
              <w:t xml:space="preserve">                  │ 4. PREFERENCE ALIGNMENT                      │</w:t>
              <w:br/>
              <w:t xml:space="preserve">                  │    - Reference-Free SimPO Margin Loss        │</w:t>
              <w:br/>
              <w:t xml:space="preserve">                  │    - g-DPO Linear Candidate Pairing          │</w:t>
              <w:br/>
              <w:t xml:space="preserve">                  └──────────────────────────────────────────────┘</w:t>
            </w:r>
          </w:p>
        </w:tc>
      </w:tr>
    </w:tbl>
    <w:p/>
    <w:p>
      <w:pPr>
        <w:jc w:val="both"/>
      </w:pPr>
      <w:r>
        <w:t xml:space="preserve">The sequence policies derived from preference alignment are passed to the accelerated folding engine. During structure generation, </w:t>
      </w:r>
      <w:r>
        <w:rPr>
          <w:rFonts w:ascii="Courier New" w:hAnsi="Courier New"/>
          <w:sz w:val="19"/>
          <w:shd w:fill="f7fafc"/>
        </w:rPr>
        <w:t>AtomDiffusion</w:t>
      </w:r>
      <w:r>
        <w:t xml:space="preserve"> resolves the trajectory in a single-pass using the CFG-distilled student model, and applies the neural coordinate refiner to ensure physical structural validity.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4. MAJOR TECHNICAL SPECIFICATIONS &amp; BENCHMARKS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1: Computational Complexity &amp; Scaling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Component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Standard Baseline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Implemented Optimization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Time Complexity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Memory / VRAM Scaling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Inference Integration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Outer ODE Solver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Speculative Sampler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O(N) vs. O(N/K)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O(1) vs. O(K)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Pair Representation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Quadratic OPM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Low-Rank Pair Updater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O(N² · D)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O(N² · r)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Guidance Sampling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Double-Pass CFG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CFG Distillation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O(2 · Steps)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O(Steps)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Coordinate Quality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Raw Diffusion Output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Neural Refiner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O(1)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O(1)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Sequence Parallelism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Monolithic Attention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Fold-CP Sequence Parallel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O(N²) vs. O(N²/P)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O(N²) vs. O(N²/P)</w:t>
            </w:r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2: Speculative Flow Matching Grid Sweep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Lookahead (K)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Tolerance (epsilon)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Evals (Target)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Accept Rate (%)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Speedup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Coordinate L2 Err</w:t>
            </w:r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0.001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0.34x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m:oMath>
              <m:r>
                <m:t>2.64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2.00x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m:oMath>
              <m:r>
                <m:t>5.60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3.85x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m:oMath>
              <m:r>
                <m:t>8.27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7.14x</w:t>
            </w:r>
          </w:p>
        </w:tc>
        <w:tc>
          <w:tcPr>
            <w:tcW w:type="dxa" w:w="1505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m:oMath>
              <m:r>
                <m:t>9.60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3: Low-Rank Pair Representation Performance Scaling (Rank r=16, D_pair=128)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Sequence Length (N)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Full-Rank VRAM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Low-Rank VRAM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VRAM Saving Factor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Full-Rank Latency (F/B)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Low-Rank Latency (F/B)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Relative MSE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1.25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0.01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104x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1.0 / 2.2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0.7 / 2.2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84.07%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30.64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0.06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510x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7.6 / 32.6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11.1 / 34.0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89.10%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122.31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0.12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1002x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29.3 / 147.1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63.5 / 138.6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92.98%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275.02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0.18 MB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1502x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112.1 / 307.1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144.3 / 253.6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89.61%</w:t>
            </w:r>
          </w:p>
        </w:tc>
      </w:tr>
    </w:tbl>
    <w:p/>
    <w:p>
      <w:pPr>
        <w:jc w:val="both"/>
      </w:pPr>
      <w:r>
        <w:rPr>
          <w:b/>
        </w:rPr>
        <w:t>Reading Table 3 correctly.</w:t>
      </w:r>
      <w:r>
        <w:t xml:space="preserve"> The final column is not a rounding error: at</w:t>
      </w:r>
    </w:p>
    <w:p>
      <w:pPr>
        <w:jc w:val="both"/>
      </w:pPr>
      <w:r>
        <w:t>rank 16 the low-rank path reproduces roughly a tenth of the full-rank output.</w:t>
      </w:r>
    </w:p>
    <w:p>
      <w:pPr>
        <w:jc w:val="both"/>
      </w:pPr>
      <w:r>
        <w:t>The memory column and the error column describe the same configuration, so the</w:t>
      </w:r>
    </w:p>
    <w:p>
      <w:pPr>
        <w:jc w:val="both"/>
      </w:pPr>
      <w:r>
        <w:t xml:space="preserve">saving factor is only meaningful for a network </w:t>
      </w:r>
      <w:r>
        <w:rPr>
          <w:i/>
        </w:rPr>
        <w:t>trained</w:t>
      </w:r>
      <w:r>
        <w:t xml:space="preserve"> with the low-rank layer</w:t>
      </w:r>
    </w:p>
    <w:p>
      <w:pPr>
        <w:jc w:val="both"/>
      </w:pPr>
      <w:r>
        <w:t>in place, where the layer defines the function rather than approximating an</w:t>
      </w:r>
    </w:p>
    <w:p>
      <w:pPr>
        <w:jc w:val="both"/>
      </w:pPr>
      <w:r>
        <w:t>existing one. Randomly initialised operands make the two paths trivially</w:t>
      </w:r>
    </w:p>
    <w:p>
      <w:pPr>
        <w:jc w:val="both"/>
      </w:pPr>
      <w:r>
        <w:t>separable, which is why this table is reported as a scaling measurement and not</w:t>
      </w:r>
    </w:p>
    <w:p>
      <w:pPr>
        <w:jc w:val="both"/>
      </w:pPr>
      <w:r>
        <w:t>as a drop-in substitution result. Section 7.1 measures what happens when the</w:t>
      </w:r>
    </w:p>
    <w:p>
      <w:pPr>
        <w:jc w:val="both"/>
      </w:pPr>
      <w:r>
        <w:t>substitution is attempted against pretrained weights.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Dynamic Quantized Attention &amp; Block-Sparsity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Weight-Only Quantization</w:t>
      </w:r>
      <w:r>
        <w:t xml:space="preserve">: Fixed INT8 quantization retains a </w:t>
      </w:r>
      <w:r>
        <w:rPr>
          <w:b/>
        </w:rPr>
        <w:t>99.997% Cosine Similarity</w:t>
      </w:r>
      <w:r>
        <w:t xml:space="preserve"> (MSE: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). FIXED INT4 achieves a </w:t>
      </w:r>
      <w:r>
        <w:rPr>
          <w:b/>
        </w:rPr>
        <w:t>99.647% Similarity</w:t>
      </w:r>
      <w:r>
        <w:t xml:space="preserve">. Mixed-precision calibration compresses weights to </w:t>
      </w:r>
      <w:r>
        <w:rPr>
          <w:b/>
        </w:rPr>
        <w:t>5.85 bits</w:t>
      </w:r>
      <w:r>
        <w:t xml:space="preserve"> average without loss of accuracy.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Gated Block-Sparse Attention</w:t>
      </w:r>
      <w:r>
        <w:t xml:space="preserve">: Straight-Through Estimator (STE) training drives sparsity from 62.9% active blocks (Epoch 1) to </w:t>
      </w:r>
      <w:r>
        <w:rPr>
          <w:b/>
        </w:rPr>
        <w:t>12.5% active blocks</w:t>
      </w:r>
      <w:r>
        <w:t xml:space="preserve"> (Epoch 50). The test reconstruction MSE is </w:t>
      </w:r>
      <w:r>
        <w:rPr>
          <w:b/>
        </w:rPr>
        <w:t>0.000639</w:t>
      </w:r>
      <w:r>
        <w:t xml:space="preserve"> against dense attention, showing high fidelity.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CoreAI Hardware Acceleration &amp; Latency</w:t>
      </w:r>
    </w:p>
    <w:p>
      <w:pPr>
        <w:jc w:val="both"/>
      </w:pPr>
      <w:r>
        <w:t>Surrogate models exported to Apple CoreAI runtimes execute dynamically on the macOS Neural Engine (ANE) without recompilation: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Table 4: Dynamic Shape Latency Benchmarks on Apple Silicon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Binder Sequence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Binder L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Target Receptor Type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Target L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Latency (ms)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Output Coordinate Shape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Recompilation Required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Short Mutant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Small Target (Hemoglobin)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4.34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8,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Short Mutant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26.36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`(1, 8,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Insulin Monomer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Small Target (Hemoglobin)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153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6.31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50,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Insulin Monomer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31.29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`(1, 50,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No</w:t>
            </w:r>
          </w:p>
        </w:tc>
      </w:tr>
      <w:tr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Hemoglobin Frag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Large Target (Receptor)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1300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36.58 ms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`(1, 90, 3)`</w:t>
            </w:r>
          </w:p>
        </w:tc>
        <w:tc>
          <w:tcPr>
            <w:tcW w:type="dxa" w:w="129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No</w:t>
            </w:r>
          </w:p>
        </w:tc>
      </w:tr>
    </w:tbl>
    <w:p/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C-alpha Backbone 3D Coordinate Plot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2: C-alpha Backbone 3D Coordinate Plot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474720" cy="3474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ein_structure_rendering_178154539167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Ray-Traced Protein Ribbon Rendering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3: Ray-Traced Protein Ribbon Model Rendering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insul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ANE-Accelerated 3D Insulin Backbone Visualization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4: ANE-Accelerated 3D Insulin Backbone Visualization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5. DESIGN CONSIDERATIONS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Apple Silicon MPS Acceleration</w:t>
      </w:r>
      <w:r>
        <w:t xml:space="preserve">: pathed 16 CUDA dependencies. Developed utility functions in </w:t>
      </w:r>
      <w:r>
        <w:rPr>
          <w:rFonts w:ascii="Courier New" w:hAnsi="Courier New"/>
          <w:sz w:val="19"/>
          <w:shd w:fill="f7fafc"/>
        </w:rPr>
        <w:t>boltz/src/boltz/model/modules/utils.py</w:t>
      </w:r>
      <w:r>
        <w:t xml:space="preserve"> for device resolution: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sz w:val="19"/>
          <w:shd w:fill="f7fafc"/>
        </w:rPr>
        <w:t>autocast_device_type(device)</w:t>
      </w:r>
      <w:r>
        <w:t xml:space="preserve">: returns </w:t>
      </w:r>
      <w:r>
        <w:rPr>
          <w:rFonts w:ascii="Courier New" w:hAnsi="Courier New"/>
          <w:sz w:val="19"/>
          <w:shd w:fill="f7fafc"/>
        </w:rPr>
        <w:t>"cpu"</w:t>
      </w:r>
      <w:r>
        <w:t xml:space="preserve"> or </w:t>
      </w:r>
      <w:r>
        <w:rPr>
          <w:rFonts w:ascii="Courier New" w:hAnsi="Courier New"/>
          <w:sz w:val="19"/>
          <w:shd w:fill="f7fafc"/>
        </w:rPr>
        <w:t>"cuda"</w:t>
      </w:r>
      <w:r>
        <w:t>. Bypasses unsupported torch autocasting on MPS by falling back gracefully.</w:t>
      </w:r>
    </w:p>
    <w:p>
      <w:pPr>
        <w:pStyle w:val="ListBullet"/>
        <w:spacing w:after="80"/>
      </w:pPr>
      <w:r>
        <w:t xml:space="preserve">  </w:t>
      </w:r>
      <w:r>
        <w:rPr>
          <w:rFonts w:ascii="Courier New" w:hAnsi="Courier New"/>
          <w:sz w:val="19"/>
          <w:shd w:fill="f7fafc"/>
        </w:rPr>
        <w:t>empty_device_cache(device)</w:t>
      </w:r>
      <w:r>
        <w:t xml:space="preserve">: dispatches cache eviction to </w:t>
      </w:r>
      <w:r>
        <w:rPr>
          <w:rFonts w:ascii="Courier New" w:hAnsi="Courier New"/>
          <w:sz w:val="19"/>
          <w:shd w:fill="f7fafc"/>
        </w:rPr>
        <w:t>torch.mps.empty_cache()</w:t>
      </w:r>
      <w:r>
        <w:t xml:space="preserve"> on MPS or </w:t>
      </w:r>
      <w:r>
        <w:rPr>
          <w:rFonts w:ascii="Courier New" w:hAnsi="Courier New"/>
          <w:sz w:val="19"/>
          <w:shd w:fill="f7fafc"/>
        </w:rPr>
        <w:t>torch.cuda.empty_cache()</w:t>
      </w:r>
      <w:r>
        <w:t xml:space="preserve"> on CUDA.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PyTorch 2.6 Serialization Workaround</w:t>
      </w:r>
      <w:r>
        <w:t xml:space="preserve">: Overrode the strict </w:t>
      </w:r>
      <w:r>
        <w:rPr>
          <w:rFonts w:ascii="Courier New" w:hAnsi="Courier New"/>
          <w:sz w:val="19"/>
          <w:shd w:fill="f7fafc"/>
        </w:rPr>
        <w:t>weights_only=True</w:t>
      </w:r>
      <w:r>
        <w:t xml:space="preserve"> checkpoint loading in PyTorch 2.6 to allow OmegaConf metadata to load properly (</w:t>
      </w:r>
      <w:r>
        <w:rPr>
          <w:rFonts w:ascii="Courier New" w:hAnsi="Courier New"/>
          <w:sz w:val="19"/>
          <w:shd w:fill="f7fafc"/>
        </w:rPr>
        <w:t>weights_only=False</w:t>
      </w:r>
      <w:r>
        <w:t xml:space="preserve"> fallback).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Biophysical Constraints</w:t>
      </w:r>
      <w:r>
        <w:t>: Added steric clash resolution and adjacent residue distance penalties (</w:t>
      </w:r>
      <m:oMath>
        <m:sSub>
          <m:e>
            <m:r>
              <m:t>C</m:t>
            </m:r>
          </m:e>
          <m:sub>
            <m:r>
              <m:t>α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α</m:t>
            </m:r>
          </m:sub>
        </m:sSub>
      </m:oMath>
      <w:r>
        <w:t xml:space="preserve"> bond length projection) into the coordinate updater and the neural refiner.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6. VERIFICATION &amp; TESTING (M1 &amp; M6)</w:t>
      </w:r>
    </w:p>
    <w:p>
      <w:pPr>
        <w:jc w:val="both"/>
      </w:pPr>
      <w:r>
        <w:t>A key focus of the integration phase was implementing a robust testing framework to ensure correctness and prevent regressions.</w:t>
      </w:r>
    </w:p>
    <w:p>
      <w:pPr>
        <w:jc w:val="both"/>
      </w:pPr>
      <w:r>
        <w:t xml:space="preserve">We created </w:t>
      </w:r>
      <w:r>
        <w:rPr>
          <w:rFonts w:ascii="Courier New" w:hAnsi="Courier New"/>
          <w:sz w:val="19"/>
          <w:shd w:fill="f7fafc"/>
        </w:rPr>
        <w:t>tests/test_e2e_suite.py</w:t>
      </w:r>
      <w:r>
        <w:t xml:space="preserve">, containing </w:t>
      </w:r>
      <w:r>
        <w:rPr>
          <w:b/>
        </w:rPr>
        <w:t>53 tests</w:t>
      </w:r>
      <w:r>
        <w:t xml:space="preserve"> grouped into 4 execution tiers: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1: Feature-Specific Functional Correctness (24 tests)</w:t>
      </w:r>
      <w:r>
        <w:t>: Validates individual components (Low-Rank, CFG Distilled field, Neural Refiner, MLA Cache, Speculative Sampler) against mock variables.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2: Boundary &amp; Corner Cases (20 tests)</w:t>
      </w:r>
      <w:r>
        <w:t>: Assesses edge inputs (zero guidance, negative guidance, single residue sequences, empty sequences, very large batch shapes, extremely high tolerance values).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3: Cross-Feature Integration (4 tests)</w:t>
      </w:r>
      <w:r>
        <w:t xml:space="preserve">: Tests the coupled execution of the student model, neural refiner, and speculative sampler inside the </w:t>
      </w:r>
      <w:r>
        <w:rPr>
          <w:rFonts w:ascii="Courier New" w:hAnsi="Courier New"/>
          <w:sz w:val="19"/>
          <w:shd w:fill="f7fafc"/>
        </w:rPr>
        <w:t>AtomDiffusion.sample()</w:t>
      </w:r>
      <w:r>
        <w:t xml:space="preserve"> loop.</w:t>
      </w:r>
    </w:p>
    <w:p>
      <w:pPr>
        <w:pStyle w:val="ListBullet"/>
        <w:spacing w:after="80"/>
      </w:pPr>
      <w:r>
        <w:t xml:space="preserve">  </w:t>
      </w:r>
      <w:r>
        <w:rPr>
          <w:b/>
        </w:rPr>
        <w:t>Tier 4: Real-World Biological Validation (5 tests)</w:t>
      </w:r>
      <w:r>
        <w:t>: Verifies predictions on actual biological binders (Insulin, VEGFA) against predefined criteria.</w:t>
      </w:r>
    </w:p>
    <w:p>
      <w:pPr>
        <w:jc w:val="both"/>
      </w:pPr>
      <w:r>
        <w:t xml:space="preserve">The E2E test suite executes synchronously via </w:t>
      </w:r>
      <w:r>
        <w:rPr>
          <w:rFonts w:ascii="Courier New" w:hAnsi="Courier New"/>
          <w:sz w:val="19"/>
          <w:shd w:fill="f7fafc"/>
        </w:rPr>
        <w:t>run_e2e_tests.py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>======================================================================</w:t>
              <w:br/>
              <w:t xml:space="preserve">                Executing Biomolecular Design E2E Test Suite          </w:t>
              <w:br/>
              <w:t>======================================================================</w:t>
              <w:br/>
              <w:t>...</w:t>
              <w:br/>
              <w:t>======================== 53 passed, 1 warning in 4.96s =========================</w:t>
              <w:br/>
              <w:br/>
              <w:t xml:space="preserve">          SUCCESS: All 53 test cases in the E2E suite passed!         </w:t>
              <w:br/>
              <w:t>======================================================================</w:t>
            </w:r>
          </w:p>
        </w:tc>
      </w:tr>
    </w:tbl>
    <w:p/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6.1 Subsequent Hardening of the Suite</w:t>
      </w:r>
    </w:p>
    <w:p>
      <w:pPr>
        <w:jc w:val="both"/>
      </w:pPr>
      <w:r>
        <w:t xml:space="preserve">The suite has since grown to </w:t>
      </w:r>
      <w:r>
        <w:rPr>
          <w:b/>
        </w:rPr>
        <w:t>99 tests</w:t>
      </w:r>
      <w:r>
        <w:t>, and two defects in the testing</w:t>
      </w:r>
    </w:p>
    <w:p>
      <w:pPr>
        <w:jc w:val="both"/>
      </w:pPr>
      <w:r>
        <w:t>infrastructure itself were found and corrected.</w:t>
      </w:r>
    </w:p>
    <w:p>
      <w:pPr>
        <w:jc w:val="both"/>
      </w:pPr>
      <w:r>
        <w:rPr>
          <w:b/>
        </w:rPr>
        <w:t>Continuous integration was not running the tests.</w:t>
      </w:r>
      <w:r>
        <w:t xml:space="preserve"> The CI workflow invoked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unittest discover -s tests</w:t>
      </w:r>
      <w:r>
        <w:t xml:space="preserve">, which collected </w:t>
      </w:r>
      <w:r>
        <w:rPr>
          <w:b/>
        </w:rPr>
        <w:t>zero</w:t>
      </w:r>
      <w:r>
        <w:t xml:space="preserve"> tests from a </w:t>
      </w:r>
      <w:r>
        <w:rPr>
          <w:rFonts w:ascii="Courier New" w:hAnsi="Courier New"/>
          <w:sz w:val="19"/>
          <w:shd w:fill="f7fafc"/>
        </w:rPr>
        <w:t>pytest</w:t>
      </w:r>
      <w:r>
        <w:t>-style</w:t>
      </w:r>
    </w:p>
    <w:p>
      <w:pPr>
        <w:jc w:val="both"/>
      </w:pPr>
      <w:r>
        <w:t>suite and therefore reported success unconditionally. CI now runs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python -m pytest -q</w:t>
      </w:r>
      <w:r>
        <w:t xml:space="preserve"> together with a </w:t>
      </w:r>
      <w:r>
        <w:rPr>
          <w:rFonts w:ascii="Courier New" w:hAnsi="Courier New"/>
          <w:sz w:val="19"/>
          <w:shd w:fill="f7fafc"/>
        </w:rPr>
        <w:t>ruff</w:t>
      </w:r>
      <w:r>
        <w:t xml:space="preserve"> lint gate, and test discovery is</w:t>
      </w:r>
    </w:p>
    <w:p>
      <w:pPr>
        <w:jc w:val="both"/>
      </w:pPr>
      <w:r>
        <w:t xml:space="preserve">configured centrally in </w:t>
      </w:r>
      <w:r>
        <w:rPr>
          <w:rFonts w:ascii="Courier New" w:hAnsi="Courier New"/>
          <w:sz w:val="19"/>
          <w:shd w:fill="f7fafc"/>
        </w:rPr>
        <w:t>pyproject.toml</w:t>
      </w:r>
      <w:r>
        <w:t xml:space="preserve"> rather than by </w:t>
      </w:r>
      <w:r>
        <w:rPr>
          <w:rFonts w:ascii="Courier New" w:hAnsi="Courier New"/>
          <w:sz w:val="19"/>
          <w:shd w:fill="f7fafc"/>
        </w:rPr>
        <w:t>sys.path</w:t>
      </w:r>
      <w:r>
        <w:t xml:space="preserve"> manipulation</w:t>
      </w:r>
    </w:p>
    <w:p>
      <w:pPr>
        <w:jc w:val="both"/>
      </w:pPr>
      <w:r>
        <w:t>inside twelve individual test files.</w:t>
      </w:r>
    </w:p>
    <w:p>
      <w:pPr>
        <w:jc w:val="both"/>
      </w:pPr>
      <w:r>
        <w:rPr>
          <w:b/>
        </w:rPr>
        <w:t>An audit of the assertions themselves</w:t>
      </w:r>
      <w:r>
        <w:t xml:space="preserve"> (</w:t>
      </w:r>
      <w:r>
        <w:rPr>
          <w:rFonts w:ascii="Courier New" w:hAnsi="Courier New"/>
          <w:sz w:val="19"/>
          <w:shd w:fill="f7fafc"/>
        </w:rPr>
        <w:t>TEST_AUDIT.md</w:t>
      </w:r>
      <w:r>
        <w:t>) found tests that</w:t>
      </w:r>
    </w:p>
    <w:p>
      <w:pPr>
        <w:jc w:val="both"/>
      </w:pPr>
      <w:r>
        <w:t>could not fail: assertions comparing a value to itself, RMSD thresholds loose</w:t>
      </w:r>
    </w:p>
    <w:p>
      <w:pPr>
        <w:jc w:val="both"/>
      </w:pPr>
      <w:r>
        <w:t>enough to be satisfied by random noise, and six tests that checked only output</w:t>
      </w:r>
    </w:p>
    <w:p>
      <w:pPr>
        <w:jc w:val="both"/>
      </w:pPr>
      <w:r>
        <w:t>tensor shape while asserting nothing about output values. These were tightened.</w:t>
      </w:r>
    </w:p>
    <w:p>
      <w:pPr>
        <w:jc w:val="both"/>
      </w:pPr>
      <w:r>
        <w:t>The same audit found that the lightweight surrogate predictor emits C-alpha</w:t>
      </w:r>
    </w:p>
    <w:p>
      <w:pPr>
        <w:jc w:val="both"/>
      </w:pPr>
      <w:r>
        <w:t>traces with ~0.56 Å adjacent spacing against a physical value of 3.80 Å,</w:t>
      </w:r>
    </w:p>
    <w:p>
      <w:pPr>
        <w:jc w:val="both"/>
      </w:pPr>
      <w:r>
        <w:t>recorded as a known limitation of the surrogate rather than silently corrected.</w:t>
      </w:r>
    </w:p>
    <w:p>
      <w:pPr>
        <w:jc w:val="both"/>
      </w:pPr>
      <w:r>
        <w:t>The corrections matter for the interpretation of M6: a 100% pass rate against a</w:t>
      </w:r>
    </w:p>
    <w:p>
      <w:pPr>
        <w:jc w:val="both"/>
      </w:pPr>
      <w:r>
        <w:t>suite that was partly unfailable is weaker evidence than the same rate against</w:t>
      </w:r>
    </w:p>
    <w:p>
      <w:pPr>
        <w:jc w:val="both"/>
      </w:pPr>
      <w:r>
        <w:t>the audited suite, and the latter is what the current 99 tests provide.</w:t>
      </w:r>
    </w:p>
    <w:p>
      <w:pPr>
        <w:spacing w:before="24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one_3d_refin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4A5568"/>
          <w:sz w:val="19"/>
        </w:rPr>
        <w:t>Figure: Post-Diffusion Neural Coordinate Refinement Comparison</w:t>
      </w:r>
    </w:p>
    <w:p>
      <w:pPr>
        <w:pStyle w:val="Heading4"/>
        <w:keepNext/>
        <w:spacing w:before="200" w:after="80"/>
      </w:pPr>
      <w:r>
        <w:rPr>
          <w:rFonts w:ascii="Times New Roman" w:hAnsi="Times New Roman"/>
          <w:b/>
          <w:color w:val="2C5282"/>
          <w:sz w:val="22"/>
        </w:rPr>
        <w:t>Figure 5: Post-Diffusion Neural Coordinate Refinement Comparison</w:t>
      </w:r>
    </w:p>
    <w:p>
      <w:pPr>
        <w:jc w:val="both"/>
      </w:pPr>
      <w:r>
        <w:t xml:space="preserve">The coordinate refiner successfully resolved simulated clashes (Figure 5, right) and adjusted C-alpha bond lengths to </w:t>
      </w:r>
      <m:oMath>
        <m:r>
          <m:rPr>
            <m:sty m:val="p"/>
          </m:rPr>
          <m:t>≤</m:t>
        </m:r>
        <m:r>
          <m:t>1.0</m:t>
        </m:r>
      </m:oMath>
      <w:r>
        <w:t xml:space="preserve"> Å deviation from the target value.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7. MEASURED RESULTS AGAINST PRETRAINED WEIGHTS</w:t>
      </w:r>
    </w:p>
    <w:p>
      <w:pPr>
        <w:jc w:val="both"/>
      </w:pPr>
      <w:r>
        <w:t>Sections 3 and 5 report component behaviour against mock tensors. This section</w:t>
      </w:r>
    </w:p>
    <w:p>
      <w:pPr>
        <w:jc w:val="both"/>
      </w:pPr>
      <w:r>
        <w:t>reports what the components do against pretrained Boltz checkpoints and</w:t>
      </w:r>
    </w:p>
    <w:p>
      <w:pPr>
        <w:jc w:val="both"/>
      </w:pPr>
      <w:r>
        <w:t>experimentally determined structures. Two questions were pursued to a</w:t>
      </w:r>
    </w:p>
    <w:p>
      <w:pPr>
        <w:jc w:val="both"/>
      </w:pPr>
      <w:r>
        <w:t>conclusion, and both answers are negative.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7.1 The Low-Rank Pair Representation Is Not Reachable on Pretrained Weights</w:t>
      </w:r>
    </w:p>
    <w:p>
      <w:pPr>
        <w:jc w:val="both"/>
      </w:pPr>
      <w:r>
        <w:t>The low-rank OuterProductMean (OPM) is the project's strongest technical asset:</w:t>
      </w:r>
    </w:p>
    <w:p>
      <w:pPr>
        <w:jc w:val="both"/>
      </w:pPr>
      <w:r>
        <w:t>it is numerically verified against the reference implementation and</w:t>
      </w:r>
    </w:p>
    <w:p>
      <w:pPr>
        <w:jc w:val="both"/>
      </w:pPr>
      <w:r>
        <w:t>mutation-tested. Its parameters (</w:t>
      </w:r>
      <w:r>
        <w:rPr>
          <w:rFonts w:ascii="Courier New" w:hAnsi="Courier New"/>
          <w:sz w:val="19"/>
          <w:shd w:fill="f7fafc"/>
        </w:rPr>
        <w:t>low_rank_updater.W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proj_x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proj_y</w:t>
      </w:r>
      <w:r>
        <w:t>) do</w:t>
      </w:r>
    </w:p>
    <w:p>
      <w:pPr>
        <w:jc w:val="both"/>
      </w:pPr>
      <w:r>
        <w:t>not correspond to those of a stock checkpoint (</w:t>
      </w:r>
      <w:r>
        <w:rPr>
          <w:rFonts w:ascii="Courier New" w:hAnsi="Courier New"/>
          <w:sz w:val="19"/>
          <w:shd w:fill="f7fafc"/>
        </w:rPr>
        <w:t>proj_a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proj_b</w:t>
      </w:r>
      <w:r>
        <w:t xml:space="preserve">, </w:t>
      </w:r>
      <w:r>
        <w:rPr>
          <w:rFonts w:ascii="Courier New" w:hAnsi="Courier New"/>
          <w:sz w:val="19"/>
          <w:shd w:fill="f7fafc"/>
        </w:rPr>
        <w:t>proj_o</w:t>
      </w:r>
      <w:r>
        <w:t>), so</w:t>
      </w:r>
    </w:p>
    <w:p>
      <w:pPr>
        <w:jc w:val="both"/>
      </w:pPr>
      <w:r>
        <w:t>it had only ever been usable by training from scratch. Whether the ~97%</w:t>
      </w:r>
    </w:p>
    <w:p>
      <w:pPr>
        <w:jc w:val="both"/>
      </w:pPr>
      <w:r>
        <w:t>activation saving could be obtained on released weights was tested in three</w:t>
      </w:r>
    </w:p>
    <w:p>
      <w:pPr>
        <w:jc w:val="both"/>
      </w:pPr>
      <w:r>
        <w:t>experiments, each stricter than the last.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Experiment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What it measures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Held-out error @ rank 32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CP projection of weights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tensor approximation, random inputs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0.77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Fit on one target's activations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function approximation, one protein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0.43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Corpus distillation, 33 folds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function approximation, at capacity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0.378</w:t>
            </w:r>
          </w:p>
        </w:tc>
      </w:tr>
    </w:tbl>
    <w:p/>
    <w:p>
      <w:pPr>
        <w:jc w:val="both"/>
      </w:pPr>
      <w:r>
        <w:t>Each step was a genuine improvement, and the first two were initially stated</w:t>
      </w:r>
    </w:p>
    <w:p>
      <w:pPr>
        <w:jc w:val="both"/>
      </w:pPr>
      <w:r>
        <w:t>more strongly than the evidence supported: the CP result measured the weight</w:t>
      </w:r>
    </w:p>
    <w:p>
      <w:pPr>
        <w:jc w:val="both"/>
      </w:pPr>
      <w:r>
        <w:t xml:space="preserve">tensor under </w:t>
      </w:r>
      <w:r>
        <w:rPr>
          <w:rFonts w:ascii="Courier New" w:hAnsi="Courier New"/>
          <w:sz w:val="19"/>
          <w:shd w:fill="f7fafc"/>
        </w:rPr>
        <w:t>torch.randn</w:t>
      </w:r>
      <w:r>
        <w:t xml:space="preserve"> inputs, and the single-target fit measured the</w:t>
      </w:r>
    </w:p>
    <w:p>
      <w:pPr>
        <w:jc w:val="both"/>
      </w:pPr>
      <w:r>
        <w:t>function on one protein only.</w:t>
      </w:r>
    </w:p>
    <w:p>
      <w:pPr>
        <w:jc w:val="both"/>
      </w:pPr>
      <w:r>
        <w:rPr>
          <w:b/>
        </w:rPr>
        <w:t>What settles the question is that train and held-out error coincide</w:t>
      </w:r>
    </w:p>
    <w:p>
      <w:pPr>
        <w:jc w:val="both"/>
      </w:pPr>
      <w:r>
        <w:t>(0.375 / 0.378 at rank 32, against a 0.08 gap for the single-target fit). The</w:t>
      </w:r>
    </w:p>
    <w:p>
      <w:pPr>
        <w:jc w:val="both"/>
      </w:pPr>
      <w:r>
        <w:t>factors genuinely are shared across receptors rather than memorised, so</w:t>
      </w:r>
    </w:p>
    <w:p>
      <w:pPr>
        <w:jc w:val="both"/>
      </w:pPr>
      <w:r>
        <w:t>generalisation is solved — but coincident train and held-out error is the</w:t>
      </w:r>
    </w:p>
    <w:p>
      <w:pPr>
        <w:jc w:val="both"/>
      </w:pPr>
      <w:r>
        <w:t>signature of a model at capacity, and more folding data will not lower the</w:t>
      </w:r>
    </w:p>
    <w:p>
      <w:pPr>
        <w:jc w:val="both"/>
      </w:pPr>
      <w:r>
        <w:t>floor.</w:t>
      </w:r>
    </w:p>
    <w:p>
      <w:pPr>
        <w:jc w:val="both"/>
      </w:pPr>
      <w:r>
        <w:rPr>
          <w:b/>
        </w:rPr>
        <w:t>Rank cannot recover the fidelity.</w:t>
      </w:r>
      <w:r>
        <w:t xml:space="preserve"> Fitting </w:t>
      </w:r>
      <w:r>
        <w:rPr>
          <w:rFonts w:ascii="Courier New" w:hAnsi="Courier New"/>
          <w:sz w:val="19"/>
          <w:shd w:fill="f7fafc"/>
        </w:rPr>
        <w:t>err = a·rank^b</w:t>
      </w:r>
      <w:r>
        <w:t xml:space="preserve"> to held-out</w:t>
      </w:r>
    </w:p>
    <w:p>
      <w:pPr>
        <w:jc w:val="both"/>
      </w:pPr>
      <w:r>
        <w:t xml:space="preserve">points gives </w:t>
      </w:r>
      <w:r>
        <w:rPr>
          <w:rFonts w:ascii="Courier New" w:hAnsi="Courier New"/>
          <w:sz w:val="19"/>
          <w:shd w:fill="f7fafc"/>
        </w:rPr>
        <w:t>1.32·rank^−0.356</w:t>
      </w:r>
      <w:r>
        <w:t xml:space="preserve"> and </w:t>
      </w:r>
      <w:r>
        <w:rPr>
          <w:rFonts w:ascii="Courier New" w:hAnsi="Courier New"/>
          <w:sz w:val="19"/>
          <w:shd w:fill="f7fafc"/>
        </w:rPr>
        <w:t>1.75·rank^−0.312</w:t>
      </w:r>
      <w:r>
        <w:t xml:space="preserve"> for the two layers.</w:t>
      </w:r>
    </w:p>
    <w:p>
      <w:pPr>
        <w:jc w:val="both"/>
      </w:pPr>
      <w:r>
        <w:t>Reaching 10% error requires rank ≈ 1,414 and ≈ 9,750 respectively, against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c_hidden² = 1024</w:t>
      </w:r>
      <w:r>
        <w:t xml:space="preserve"> — the width the stock implementation actually materialises.</w:t>
      </w:r>
    </w:p>
    <w:p>
      <w:pPr>
        <w:jc w:val="both"/>
      </w:pPr>
      <w:r>
        <w:rPr>
          <w:b/>
        </w:rPr>
      </w:r>
      <w:r>
        <w:t>The low-rank form therefore costs more activation memory than stock before it</w:t>
      </w:r>
    </w:p>
    <w:p>
      <w:pPr>
        <w:jc w:val="both"/>
      </w:pPr>
      <w:r>
        <w:t>becomes accurate enough to substitute.</w:t>
      </w:r>
      <w:r>
        <w:rPr>
          <w:b/>
        </w:rPr>
      </w:r>
      <w:r>
        <w:t xml:space="preserve"> The usable regime is 23–38% per-layer</w:t>
      </w:r>
    </w:p>
    <w:p>
      <w:pPr>
        <w:jc w:val="both"/>
      </w:pPr>
      <w:r>
        <w:t>error at 3–13% of stock activations: a large saving at an error that compounds</w:t>
      </w:r>
    </w:p>
    <w:p>
      <w:pPr>
        <w:jc w:val="both"/>
      </w:pPr>
      <w:r>
        <w:t>across the MSA stack.</w:t>
      </w:r>
    </w:p>
    <w:p>
      <w:pPr>
        <w:jc w:val="both"/>
      </w:pPr>
      <w:r>
        <w:t>Controls confirm the negative is a property of the weights rather than of the</w:t>
      </w:r>
    </w:p>
    <w:p>
      <w:pPr>
        <w:jc w:val="both"/>
      </w:pPr>
      <w:r>
        <w:t>solver: an exactly-rank-32 tensor decomposes to 0.00000 error, a random dense</w:t>
      </w:r>
    </w:p>
    <w:p>
      <w:pPr>
        <w:jc w:val="both"/>
      </w:pPr>
      <w:r>
        <w:t>tensor to 0.947, and the trained tensor to 0.831 — only marginally more</w:t>
      </w:r>
    </w:p>
    <w:p>
      <w:pPr>
        <w:jc w:val="both"/>
      </w:pPr>
      <w:r>
        <w:t>compressible than noise.</w:t>
      </w:r>
    </w:p>
    <w:p>
      <w:pPr>
        <w:jc w:val="both"/>
      </w:pPr>
      <w:r>
        <w:rPr>
          <w:b/>
        </w:rPr>
        <w:t>Consequence for M3.</w:t>
      </w:r>
      <w:r>
        <w:t xml:space="preserve"> The 1502x figure in Table 3 stands as a scaling</w:t>
      </w:r>
    </w:p>
    <w:p>
      <w:pPr>
        <w:jc w:val="both"/>
      </w:pPr>
      <w:r>
        <w:t>measurement for a network trained around the low-rank layer. Obtaining it on</w:t>
      </w:r>
    </w:p>
    <w:p>
      <w:pPr>
        <w:jc w:val="both"/>
      </w:pPr>
      <w:r>
        <w:t>pretrained weights would require retraining the full model — a frontier-scale</w:t>
      </w:r>
    </w:p>
    <w:p>
      <w:pPr>
        <w:jc w:val="both"/>
      </w:pPr>
      <w:r>
        <w:t xml:space="preserve">run outside the scope of this dissertation. The </w:t>
      </w:r>
      <w:r>
        <w:rPr>
          <w:rFonts w:ascii="Courier New" w:hAnsi="Courier New"/>
          <w:sz w:val="19"/>
          <w:shd w:fill="f7fafc"/>
        </w:rPr>
        <w:t>BOLTZMAC_OPM</w:t>
      </w:r>
      <w:r>
        <w:t xml:space="preserve"> environment</w:t>
      </w:r>
    </w:p>
    <w:p>
      <w:pPr>
        <w:jc w:val="both"/>
      </w:pPr>
      <w:r>
        <w:t>toggle keeps both implementations selectable so the layer remains available for</w:t>
      </w:r>
    </w:p>
    <w:p>
      <w:pPr>
        <w:jc w:val="both"/>
      </w:pPr>
      <w:r>
        <w:t>that work.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7.2 Interface Confidence Does Not Rank Peptide Binders</w:t>
      </w:r>
    </w:p>
    <w:p>
      <w:pPr>
        <w:jc w:val="both"/>
      </w:pPr>
      <w:r>
        <w:t>The binder design objective requires a scoring signal to rank candidates.</w:t>
      </w:r>
    </w:p>
    <w:p>
      <w:pPr>
        <w:jc w:val="both"/>
      </w:pPr>
      <w:r>
        <w:t>Boltz's interface confidence (ipTM) was evaluated as that reference against</w:t>
      </w:r>
    </w:p>
    <w:p>
      <w:pPr>
        <w:jc w:val="both"/>
      </w:pPr>
      <w:r>
        <w:rPr>
          <w:b/>
        </w:rPr>
        <w:t>11 experimentally determined peptide–domain complexes</w:t>
      </w:r>
      <w:r>
        <w:t xml:space="preserve"> from the PDB</w:t>
      </w:r>
    </w:p>
    <w:p>
      <w:pPr>
        <w:jc w:val="both"/>
      </w:pPr>
      <w:r>
        <w:t>(MDM2/p53, SH3/proline-rich, PDZ/C-terminal and others; sequences fetched</w:t>
      </w:r>
    </w:p>
    <w:p>
      <w:pPr>
        <w:jc w:val="both"/>
      </w:pPr>
      <w:r>
        <w:t>programmatically from RCSB, never transcribed). Three classes were folded</w:t>
      </w:r>
    </w:p>
    <w:p>
      <w:pPr>
        <w:jc w:val="both"/>
      </w:pPr>
      <w:r>
        <w:t xml:space="preserve">identically: </w:t>
      </w:r>
      <w:r>
        <w:rPr>
          <w:b/>
        </w:rPr>
        <w:t>cognate</w:t>
      </w:r>
      <w:r>
        <w:t xml:space="preserve"> (receptor with its own peptide), </w:t>
      </w:r>
      <w:r>
        <w:rPr>
          <w:b/>
        </w:rPr>
        <w:t>decoy</w:t>
      </w:r>
      <w:r>
        <w:t xml:space="preserve"> (receptor</w:t>
      </w:r>
    </w:p>
    <w:p>
      <w:pPr>
        <w:jc w:val="both"/>
      </w:pPr>
      <w:r>
        <w:t>with a genuine peptide from a different complex — the strongest negative, since</w:t>
      </w:r>
    </w:p>
    <w:p>
      <w:pPr>
        <w:jc w:val="both"/>
      </w:pPr>
      <w:r>
        <w:t xml:space="preserve">screening is exactly this discrimination), and </w:t>
      </w:r>
      <w:r>
        <w:rPr>
          <w:b/>
        </w:rPr>
        <w:t>scrambled</w:t>
      </w:r>
      <w:r>
        <w:t xml:space="preserve"> (own peptide,</w:t>
      </w:r>
    </w:p>
    <w:p>
      <w:pPr>
        <w:jc w:val="both"/>
      </w:pPr>
      <w:r>
        <w:t>order destroyed).</w:t>
      </w:r>
    </w:p>
    <w:p>
      <w:pPr>
        <w:jc w:val="both"/>
      </w:pPr>
      <w:r>
        <w:t xml:space="preserve">ipTM has </w:t>
      </w:r>
      <w:r>
        <w:rPr>
          <w:b/>
        </w:rPr>
        <w:t>sensitivity</w:t>
      </w:r>
      <w:r>
        <w:t>: real complexes score far above the synthetic peptides</w:t>
      </w:r>
    </w:p>
    <w:p>
      <w:pPr>
        <w:jc w:val="both"/>
      </w:pPr>
      <w:r>
        <w:t>used in earlier runs (0.1915 vs 0.0905, AUC 0.881, p = 1e-5). It does not have</w:t>
      </w:r>
    </w:p>
    <w:p>
      <w:pPr>
        <w:jc w:val="both"/>
      </w:pPr>
      <w:r>
        <w:rPr>
          <w:b/>
        </w:rPr>
        <w:t>specificity</w:t>
      </w:r>
      <w:r>
        <w:t>. Ranking each receptor's own candidates against one another —</w:t>
      </w:r>
    </w:p>
    <w:p>
      <w:pPr>
        <w:jc w:val="both"/>
      </w:pPr>
      <w:r>
        <w:t>which is what screening does — is at chance: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>cognate ranked #1 for 2/11 receptors    (chance = 1.8)</w:t>
              <w:br/>
              <w:t>mean rank 3.27 of 6                     (chance = 3.50)</w:t>
              <w:br/>
              <w:t>Wilcoxon vs chance:  p = 0.746</w:t>
            </w:r>
          </w:p>
        </w:tc>
      </w:tr>
    </w:tbl>
    <w:p/>
    <w:p>
      <w:pPr>
        <w:jc w:val="both"/>
      </w:pPr>
      <w:r>
        <w:t>A surrogate distilled from a reference that cannot rank binders cannot rank them</w:t>
      </w:r>
    </w:p>
    <w:p>
      <w:pPr>
        <w:jc w:val="both"/>
      </w:pPr>
      <w:r>
        <w:t>either, and this was confirmed directly: on n = 85 held-out complexes the</w:t>
      </w:r>
    </w:p>
    <w:p>
      <w:pPr>
        <w:jc w:val="both"/>
      </w:pPr>
      <w:r>
        <w:t xml:space="preserve">distilled surrogate achieved Spearman ρ = −0.034, while a </w:t>
      </w:r>
      <w:r>
        <w:rPr>
          <w:b/>
        </w:rPr>
      </w:r>
      <w:r>
        <w:t>ridge regression on</w:t>
      </w:r>
    </w:p>
    <w:p>
      <w:pPr>
        <w:jc w:val="both"/>
      </w:pPr>
      <w:r>
        <w:t>additive amino-acid composition scored +0.103</w:t>
      </w:r>
      <w:r>
        <w:rPr>
          <w:b/>
        </w:rPr>
      </w:r>
      <w:r>
        <w:t xml:space="preserve"> (z = 3.44 against the neural</w:t>
      </w:r>
    </w:p>
    <w:p>
      <w:pPr>
        <w:jc w:val="both"/>
      </w:pPr>
      <w:r>
        <w:t>model). An earlier ρ = +0.308 at n = 13 did not survive the larger sample and is</w:t>
      </w:r>
    </w:p>
    <w:p>
      <w:pPr>
        <w:jc w:val="both"/>
      </w:pPr>
      <w:r>
        <w:t>recorded here as a sampling artefact rather than as a result.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7.3 Boltz-2 Comparison and a Correction to the Benchmark</w:t>
      </w:r>
    </w:p>
    <w:p>
      <w:pPr>
        <w:jc w:val="both"/>
      </w:pPr>
      <w:r>
        <w:t>The natural objection is that Section 7.2 indicts Boltz-1 rather than ipTM. The</w:t>
      </w:r>
    </w:p>
    <w:p>
      <w:pPr>
        <w:jc w:val="both"/>
      </w:pPr>
      <w:r>
        <w:t>identical 66 pairs were therefore re-folded under Boltz-2 with identical seeds</w:t>
      </w:r>
    </w:p>
    <w:p>
      <w:pPr>
        <w:jc w:val="both"/>
      </w:pPr>
      <w:r>
        <w:t>and byte-identical cached alignments, leaving the checkpoint as the only</w:t>
      </w:r>
    </w:p>
    <w:p>
      <w:pPr>
        <w:jc w:val="both"/>
      </w:pPr>
      <w:r>
        <w:t>variable. Every score rises by roughly 2.8x, and the classes rise together: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cognate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decoy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scrambled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Boltz-1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0.1915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0.1684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0.1758</w:t>
            </w:r>
          </w:p>
        </w:tc>
      </w:tr>
      <w:tr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Boltz-2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0.5355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0.4556</w:t>
            </w:r>
          </w:p>
        </w:tc>
        <w:tc>
          <w:tcPr>
            <w:tcW w:type="dxa" w:w="2257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0.4662</w:t>
            </w:r>
          </w:p>
        </w:tc>
      </w:tr>
    </w:tbl>
    <w:p/>
    <w:p>
      <w:pPr>
        <w:jc w:val="both"/>
      </w:pPr>
      <w:r>
        <w:t>Boltz-2 improves the screening metric in every direction — cognate first for</w:t>
      </w:r>
    </w:p>
    <w:p>
      <w:pPr>
        <w:jc w:val="both"/>
      </w:pPr>
      <w:r>
        <w:t>3/11 receptors, mean rank 2.55 of 6 — but does not establish specificity at</w:t>
      </w:r>
    </w:p>
    <w:p>
      <w:pPr>
        <w:jc w:val="both"/>
      </w:pPr>
      <w:r>
        <w:t>n = 11 (Wilcoxon p = 0.094 two-sided; bootstrap 95% CI on the mean rank</w:t>
      </w:r>
    </w:p>
    <w:p>
      <w:pPr>
        <w:jc w:val="both"/>
      </w:pPr>
      <w:r>
        <w:t>[1.36, 2.55] contains chance). The paired improvement over Boltz-1 is +0.45</w:t>
      </w:r>
    </w:p>
    <w:p>
      <w:pPr>
        <w:jc w:val="both"/>
      </w:pPr>
      <w:r>
        <w:t>ranks with 95% CI [−0.36, +1.18], which contains zero.</w:t>
      </w:r>
    </w:p>
    <w:p>
      <w:pPr>
        <w:jc w:val="both"/>
      </w:pPr>
      <w:r>
        <w:t>A pooled cognate-versus-decoy test appears to pass (AUC 0.689, p = 0.033) and is</w:t>
      </w:r>
    </w:p>
    <w:p>
      <w:pPr>
        <w:jc w:val="both"/>
      </w:pPr>
      <w:r>
        <w:rPr>
          <w:b/>
        </w:rPr>
        <w:t>not</w:t>
      </w:r>
      <w:r>
        <w:t xml:space="preserve"> relied upon: it is confounded by receptor identity, and it is</w:t>
      </w:r>
    </w:p>
    <w:p>
      <w:pPr>
        <w:jc w:val="both"/>
      </w:pPr>
      <w:r>
        <w:t xml:space="preserve">inconsistent with the observation that </w:t>
      </w:r>
      <w:r>
        <w:rPr>
          <w:b/>
        </w:rPr>
      </w:r>
      <w:r>
        <w:t>decoys and scrambles are</w:t>
      </w:r>
    </w:p>
    <w:p>
      <w:pPr>
        <w:jc w:val="both"/>
      </w:pPr>
      <w:r>
        <w:t>indistinguishable under Boltz-2 (AUC 0.501, p = 0.993)</w:t>
      </w:r>
      <w:r>
        <w:rPr>
          <w:b/>
        </w:rPr>
      </w:r>
      <w:r>
        <w:t>. A signal that cannot</w:t>
      </w:r>
    </w:p>
    <w:p>
      <w:pPr>
        <w:jc w:val="both"/>
      </w:pPr>
      <w:r>
        <w:t>separate a genuine binder from a sequence-order scramble is not recognising</w:t>
      </w:r>
    </w:p>
    <w:p>
      <w:pPr>
        <w:jc w:val="both"/>
      </w:pPr>
      <w:r>
        <w:t>binders.</w:t>
      </w:r>
    </w:p>
    <w:p>
      <w:pPr>
        <w:jc w:val="both"/>
      </w:pPr>
      <w:r>
        <w:rPr>
          <w:b/>
        </w:rPr>
        <w:t>A labelling defect was found and corrected.</w:t>
      </w:r>
      <w:r>
        <w:t xml:space="preserve"> RCSB's FASTA endpoint returns</w:t>
      </w:r>
    </w:p>
    <w:p>
      <w:pPr>
        <w:jc w:val="both"/>
      </w:pPr>
      <w:r>
        <w:rPr>
          <w:i/>
        </w:rPr>
        <w:t>canonical</w:t>
      </w:r>
      <w:r>
        <w:t xml:space="preserve"> sequence, so phosphoserine reads as S, phosphotyrosine as Y and</w:t>
      </w:r>
    </w:p>
    <w:p>
      <w:pPr>
        <w:jc w:val="both"/>
      </w:pPr>
      <w:r>
        <w:t xml:space="preserve">acetyl-lysine as K. For complexes whose interaction </w:t>
      </w:r>
      <w:r>
        <w:rPr>
          <w:i/>
        </w:rPr>
        <w:t>is</w:t>
      </w:r>
      <w:r>
        <w:t xml:space="preserve"> the modification — an</w:t>
      </w:r>
    </w:p>
    <w:p>
      <w:pPr>
        <w:jc w:val="both"/>
      </w:pPr>
      <w:r>
        <w:t>SH2 domain reading phosphotyrosine, a bromodomain reading acetyl-lysine — the</w:t>
      </w:r>
    </w:p>
    <w:p>
      <w:pPr>
        <w:jc w:val="both"/>
      </w:pPr>
      <w:r>
        <w:t>folded "cognate" pair is not binding-competent, making it a mislabelled</w:t>
      </w:r>
    </w:p>
    <w:p>
      <w:pPr>
        <w:jc w:val="both"/>
      </w:pPr>
      <w:r>
        <w:t xml:space="preserve">positive. An audit against </w:t>
      </w:r>
      <w:r>
        <w:rPr>
          <w:rFonts w:ascii="Courier New" w:hAnsi="Courier New"/>
          <w:sz w:val="19"/>
          <w:shd w:fill="f7fafc"/>
        </w:rPr>
        <w:t>entity_poly.pdbx_seq_one_letter_code</w:t>
      </w:r>
      <w:r>
        <w:t>, which</w:t>
      </w:r>
    </w:p>
    <w:p>
      <w:pPr>
        <w:jc w:val="both"/>
      </w:pPr>
      <w:r>
        <w:t xml:space="preserve">preserves modified residues, found </w:t>
      </w:r>
      <w:r>
        <w:rPr>
          <w:b/>
        </w:rPr>
      </w:r>
      <w:r>
        <w:t>7 of 25 candidate receptors PTM-dependent,</w:t>
      </w:r>
    </w:p>
    <w:p>
      <w:pPr>
        <w:jc w:val="both"/>
      </w:pPr>
      <w:r>
        <w:t>including 1I8H from the original panel</w:t>
      </w:r>
      <w:r>
        <w:rPr>
          <w:b/>
        </w:rPr>
      </w:r>
      <w:r>
        <w:t xml:space="preserve"> — precisely the receptor whose true</w:t>
      </w:r>
    </w:p>
    <w:p>
      <w:pPr>
        <w:jc w:val="both"/>
      </w:pPr>
      <w:r>
        <w:t>binder ranked last of six under Boltz-1. Ranking a non-binder last is correct</w:t>
      </w:r>
    </w:p>
    <w:p>
      <w:pPr>
        <w:jc w:val="both"/>
      </w:pPr>
      <w:r>
        <w:t>behaviour, not a failure of the metric.</w:t>
      </w:r>
    </w:p>
    <w:p>
      <w:pPr>
        <w:jc w:val="both"/>
      </w:pPr>
      <w:r>
        <w:t>Re-analysis without 1I8H does not change any conclusion (Boltz-1 p 0.790 →</w:t>
      </w:r>
    </w:p>
    <w:p>
      <w:pPr>
        <w:jc w:val="both"/>
      </w:pPr>
      <w:r>
        <w:t>0.463; Boltz-2 p 0.094 → 0.131, both still non-significant), so this corrects</w:t>
      </w:r>
    </w:p>
    <w:p>
      <w:pPr>
        <w:jc w:val="both"/>
      </w:pPr>
      <w:r>
        <w:t>the method rather than the result.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7.4 Powered Run: ipTM Tracks Composition, Not Binding</w:t>
      </w:r>
    </w:p>
    <w:p>
      <w:pPr>
        <w:jc w:val="both"/>
      </w:pPr>
      <w:r>
        <w:t>The n = 11 result was underpowered rather than decisive, so a PTM-clean,</w:t>
      </w:r>
    </w:p>
    <w:p>
      <w:pPr>
        <w:jc w:val="both"/>
      </w:pPr>
      <w:r>
        <w:t xml:space="preserve">tag-free, peptide-deduplicated panel of </w:t>
      </w:r>
      <w:r>
        <w:rPr>
          <w:b/>
        </w:rPr>
        <w:t>22 receptors (132 complexes)</w:t>
      </w:r>
      <w:r>
        <w:t xml:space="preserve"> was</w:t>
      </w:r>
    </w:p>
    <w:p>
      <w:pPr>
        <w:jc w:val="both"/>
      </w:pPr>
      <w:r>
        <w:t>assembled programmatically and folded under Boltz-2 — 80% power on the</w:t>
      </w:r>
    </w:p>
    <w:p>
      <w:pPr>
        <w:jc w:val="both"/>
      </w:pPr>
      <w:r>
        <w:t>specificity test requires 21 receptors at dz = 0.57.</w:t>
      </w:r>
    </w:p>
    <w:p>
      <w:pPr>
        <w:jc w:val="both"/>
      </w:pPr>
      <w:r>
        <w:rPr>
          <w:b/>
        </w:rPr>
        <w:t>The specificity test passes.</w:t>
      </w:r>
      <w:r>
        <w:t xml:space="preserve"> Against decoys, the cognate reaches mean rank</w:t>
      </w:r>
    </w:p>
    <w:p>
      <w:pPr>
        <w:jc w:val="both"/>
      </w:pPr>
      <w:r>
        <w:rPr>
          <w:b/>
        </w:rPr>
        <w:t>2.00 against a chance value of 2.50</w:t>
      </w:r>
      <w:r>
        <w:t xml:space="preserve"> (first for 8 of 22 receptors,</w:t>
      </w:r>
    </w:p>
    <w:p>
      <w:pPr>
        <w:jc w:val="both"/>
      </w:pPr>
      <w:r>
        <w:t xml:space="preserve">p = 0.034 two-sided), with a bootstrap 95% CI of </w:t>
      </w:r>
      <w:r>
        <w:rPr>
          <w:b/>
        </w:rPr>
        <w:t>[1.59, 2.41]</w:t>
      </w:r>
      <w:r>
        <w:t xml:space="preserve"> that excludes</w:t>
      </w:r>
    </w:p>
    <w:p>
      <w:pPr>
        <w:jc w:val="both"/>
      </w:pPr>
      <w:r>
        <w:t>chance. Taken alone this reverses the n = 11 conclusion.</w:t>
      </w:r>
    </w:p>
    <w:p>
      <w:pPr>
        <w:jc w:val="both"/>
      </w:pPr>
      <w:r>
        <w:rPr>
          <w:b/>
        </w:rPr>
        <w:t>The scramble control refutes the binding interpretation.</w:t>
      </w:r>
      <w:r>
        <w:t xml:space="preserve"> A scramble</w:t>
      </w:r>
    </w:p>
    <w:p>
      <w:pPr>
        <w:jc w:val="both"/>
      </w:pPr>
      <w:r>
        <w:t>preserves amino-acid composition and length exactly and destroys only sequence</w:t>
      </w:r>
    </w:p>
    <w:p>
      <w:pPr>
        <w:jc w:val="both"/>
      </w:pPr>
      <w:r>
        <w:t>order — and order is what makes a binder a binder.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class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mean ipTM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cognate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0.5015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scrambled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0.4888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decoy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0.4317</w:t>
            </w:r>
          </w:p>
        </w:tc>
      </w:tr>
    </w:tbl>
    <w:p/>
    <w:p>
      <w:pPr>
        <w:jc w:val="both"/>
      </w:pPr>
      <w:r>
        <w:t>Cognates do not measurably beat their own scrambles (mean difference +0.0128,</w:t>
      </w:r>
    </w:p>
    <w:p>
      <w:pPr>
        <w:jc w:val="both"/>
      </w:pPr>
      <w:r>
        <w:t xml:space="preserve">95% CI [−0.019, +0.044], n = 44), and </w:t>
      </w:r>
      <w:r>
        <w:rPr>
          <w:b/>
        </w:rPr>
        <w:t>scrambles outscore decoys</w:t>
      </w:r>
      <w:r>
        <w:t xml:space="preserve"> (AUC 0.632,</w:t>
      </w:r>
    </w:p>
    <w:p>
      <w:pPr>
        <w:jc w:val="both"/>
      </w:pPr>
      <w:r>
        <w:t>p = 0.0096). The variable separating cognate from decoy is therefore largely the</w:t>
      </w:r>
    </w:p>
    <w:p>
      <w:pPr>
        <w:jc w:val="both"/>
      </w:pPr>
      <w:r>
        <w:t>one a cognate shares exactly with its own scramble — composition. The null on</w:t>
      </w:r>
    </w:p>
    <w:p>
      <w:pPr>
        <w:jc w:val="both"/>
      </w:pPr>
      <w:r>
        <w:t xml:space="preserve">order is a </w:t>
      </w:r>
      <w:r>
        <w:rPr>
          <w:i/>
        </w:rPr>
        <w:t>bound</w:t>
      </w:r>
      <w:r>
        <w:t xml:space="preserve"> rather than a zero: any order effect is at most 63% of the</w:t>
      </w:r>
    </w:p>
    <w:p>
      <w:pPr>
        <w:jc w:val="both"/>
      </w:pPr>
      <w:r>
        <w:t>composition effect and is plausibly nil.</w:t>
      </w:r>
    </w:p>
    <w:p>
      <w:pPr>
        <w:jc w:val="both"/>
      </w:pPr>
      <w:r>
        <w:t>The effect is not a length artifact, which was tested directly: ipTM falls with</w:t>
      </w:r>
    </w:p>
    <w:p>
      <w:pPr>
        <w:jc w:val="both"/>
      </w:pPr>
      <w:r>
        <w:t>peptide length (Spearman −0.408, p = 1.2e-6), but regressing the per-pair</w:t>
      </w:r>
    </w:p>
    <w:p>
      <w:pPr>
        <w:jc w:val="both"/>
      </w:pPr>
      <w:r>
        <w:t>cognate-minus-decoy score difference on the corresponding length difference</w:t>
      </w:r>
    </w:p>
    <w:p>
      <w:pPr>
        <w:jc w:val="both"/>
      </w:pPr>
      <w:r>
        <w:t xml:space="preserve">leaves an intercept of </w:t>
      </w:r>
      <w:r>
        <w:rPr>
          <w:b/>
        </w:rPr>
        <w:t>+0.0752 (p = 0.0001)</w:t>
      </w:r>
      <w:r>
        <w:t>. The advantage survives length</w:t>
      </w:r>
    </w:p>
    <w:p>
      <w:pPr>
        <w:jc w:val="both"/>
      </w:pPr>
      <w:r>
        <w:t>adjustment; it is compositional rather than positional.</w:t>
      </w:r>
    </w:p>
    <w:p>
      <w:pPr>
        <w:jc w:val="both"/>
      </w:pPr>
      <w:r>
        <w:rPr>
          <w:b/>
        </w:rPr>
        <w:t>Conclusion.</w:t>
      </w:r>
      <w:r>
        <w:t xml:space="preserve"> The powered run resolves the question and the answer remains</w:t>
      </w:r>
    </w:p>
    <w:p>
      <w:pPr>
        <w:jc w:val="both"/>
      </w:pPr>
      <w:r>
        <w:t>negative, now with a mechanism: ipTM responds to peptide composition and is</w:t>
      </w:r>
    </w:p>
    <w:p>
      <w:pPr>
        <w:jc w:val="both"/>
      </w:pPr>
      <w:r>
        <w:t>indifferent to sequence order. A screening reference must prefer a binder to its</w:t>
      </w:r>
    </w:p>
    <w:p>
      <w:pPr>
        <w:jc w:val="both"/>
      </w:pPr>
      <w:r>
        <w:t>own scramble, and this one does not. The finding converges with Section 7.2 from</w:t>
      </w:r>
    </w:p>
    <w:p>
      <w:pPr>
        <w:jc w:val="both"/>
      </w:pPr>
      <w:r>
        <w:t>an independent direction — a ridge regression on additive composition predicted</w:t>
      </w:r>
    </w:p>
    <w:p>
      <w:pPr>
        <w:jc w:val="both"/>
      </w:pPr>
      <w:r>
        <w:t>ipTM better than the distilled neural surrogate — indicating that the signal</w:t>
      </w:r>
    </w:p>
    <w:p>
      <w:pPr>
        <w:jc w:val="both"/>
      </w:pPr>
      <w:r>
        <w:t>available in this pipeline is compositional throughout.</w:t>
      </w:r>
    </w:p>
    <w:p>
      <w:pPr>
        <w:jc w:val="both"/>
      </w:pPr>
      <w:r>
        <w:t>Reporting only the decoys-only comparison would have produced a positive</w:t>
      </w:r>
    </w:p>
    <w:p>
      <w:pPr>
        <w:jc w:val="both"/>
      </w:pPr>
      <w:r>
        <w:t>headline that the experiment's own control contradicts.</w:t>
      </w:r>
    </w:p>
    <w:p>
      <w:pPr>
        <w:pStyle w:val="Heading3"/>
        <w:keepNext/>
        <w:spacing w:before="240" w:after="80"/>
      </w:pPr>
      <w:r>
        <w:rPr>
          <w:rFonts w:ascii="Times New Roman" w:hAnsi="Times New Roman"/>
          <w:b/>
          <w:color w:val="2C5282"/>
          <w:sz w:val="23"/>
        </w:rPr>
        <w:t>7.5 Measurement Reproducibility: Single Folds Do Not Reproduce</w:t>
      </w:r>
    </w:p>
    <w:p>
      <w:pPr>
        <w:jc w:val="both"/>
      </w:pPr>
      <w:r>
        <w:t xml:space="preserve">Every fold in Sections 7.2–7.4 was unseeded. Boltz's </w:t>
      </w:r>
      <w:r>
        <w:rPr>
          <w:rFonts w:ascii="Courier New" w:hAnsi="Courier New"/>
          <w:sz w:val="19"/>
          <w:shd w:fill="f7fafc"/>
        </w:rPr>
        <w:t>--seed</w:t>
      </w:r>
      <w:r>
        <w:t xml:space="preserve"> defaults to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None</w:t>
      </w:r>
      <w:r>
        <w:t xml:space="preserve">, and the benchmark's own </w:t>
      </w:r>
      <w:r>
        <w:rPr>
          <w:rFonts w:ascii="Courier New" w:hAnsi="Courier New"/>
          <w:sz w:val="19"/>
          <w:shd w:fill="f7fafc"/>
        </w:rPr>
        <w:t>--seed</w:t>
      </w:r>
      <w:r>
        <w:t xml:space="preserve"> governs only pair construction, not the</w:t>
      </w:r>
    </w:p>
    <w:p>
      <w:pPr>
        <w:jc w:val="both"/>
      </w:pPr>
      <w:r>
        <w:t>diffusion sampler — so each reported ipTM is a single draw from a distribution</w:t>
      </w:r>
    </w:p>
    <w:p>
      <w:pPr>
        <w:jc w:val="both"/>
      </w:pPr>
      <w:r>
        <w:t>whose width had not been measured, while the load-bearing comparison rested on a</w:t>
      </w:r>
    </w:p>
    <w:p>
      <w:pPr>
        <w:jc w:val="both"/>
      </w:pPr>
      <w:r>
        <w:t>difference of +0.0128. A replicate study (4 receptors spanning every observed</w:t>
      </w:r>
    </w:p>
    <w:p>
      <w:pPr>
        <w:jc w:val="both"/>
      </w:pPr>
      <w:r>
        <w:t xml:space="preserve">outcome, all 6 complexes each, </w:t>
      </w:r>
      <w:r>
        <w:rPr>
          <w:b/>
        </w:rPr>
        <w:t>4 identical re-runs = 96 folds</w:t>
      </w:r>
      <w:r>
        <w:t>, at the same</w:t>
      </w:r>
    </w:p>
    <w:p>
      <w:pPr>
        <w:jc w:val="both"/>
      </w:pPr>
      <w:r>
        <w:t>settings) measured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single" w:sz="8" w:space="0" w:color="3182ce"/>
          <w:right w:val="single" w:sz="4" w:space="0" w:color="e2e8f0"/>
        </w:tblBorders>
      </w:tblPr>
      <w:tblGrid>
        <w:gridCol w:w="9029"/>
      </w:tblGrid>
      <w:tr>
        <w:tc>
          <w:tcPr>
            <w:tcW w:type="dxa" w:w="9029"/>
            <w:shd w:fill="f7fafc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line="240" w:lineRule="auto" w:after="0"/>
            </w:pPr>
            <w:r>
              <w:rPr>
                <w:rFonts w:ascii="Courier New" w:hAnsi="Courier New"/>
                <w:color w:val="2D3748"/>
                <w:sz w:val="17"/>
              </w:rPr>
              <w:t>pooled within-complex SD : 0.0628      median range : 0.1271</w:t>
              <w:br/>
              <w:t xml:space="preserve">  cognate - decoy    +0.0698  = 1.11 x SD   comparable to noise</w:t>
              <w:br/>
              <w:t xml:space="preserve">  cognate - scramble +0.0128  = 0.20 x SD   below noise</w:t>
            </w:r>
          </w:p>
        </w:tc>
      </w:tr>
    </w:tbl>
    <w:p/>
    <w:p>
      <w:pPr>
        <w:jc w:val="both"/>
      </w:pPr>
      <w:r>
        <w:rPr>
          <w:b/>
        </w:rPr>
        <w:t>Per-receptor rankings are not reproducible.</w:t>
      </w:r>
      <w:r>
        <w:t xml:space="preserve"> Cognate rank among its own three</w:t>
      </w:r>
    </w:p>
    <w:p>
      <w:pPr>
        <w:jc w:val="both"/>
      </w:pPr>
      <w:r>
        <w:t>decoys across four identical runs: 1YCR [1,2,1,1], 9F6S [2,1,1,1],</w:t>
      </w:r>
    </w:p>
    <w:p>
      <w:pPr>
        <w:jc w:val="both"/>
      </w:pPr>
      <w:r>
        <w:t>8KDX [3,3,4,2], 6YOO [1,4,4,3]. Four of four flip, and 6YOO spans the whole</w:t>
      </w:r>
    </w:p>
    <w:p>
      <w:pPr>
        <w:jc w:val="both"/>
      </w:pPr>
      <w:r>
        <w:t>range — best to worst on identical input.</w:t>
      </w:r>
    </w:p>
    <w:p>
      <w:pPr>
        <w:jc w:val="both"/>
      </w:pPr>
      <w:r>
        <w:rPr>
          <w:b/>
        </w:rPr>
        <w:t>The aggregate effect survives; the significance verdict does not.</w:t>
      </w:r>
      <w:r>
        <w:t xml:space="preserve"> A</w:t>
      </w:r>
    </w:p>
    <w:p>
      <w:pPr>
        <w:jc w:val="both"/>
      </w:pPr>
      <w:r>
        <w:t>parametric bootstrap re-simulating the full 132-fold benchmark under the measured</w:t>
      </w:r>
    </w:p>
    <w:p>
      <w:pPr>
        <w:jc w:val="both"/>
      </w:pPr>
      <w:r>
        <w:t>noise (4,000 replications) gives a mean cognate rank of 2.03 with 95% range</w:t>
      </w:r>
    </w:p>
    <w:p>
      <w:pPr>
        <w:jc w:val="both"/>
      </w:pPr>
      <w:r>
        <w:rPr>
          <w:b/>
        </w:rPr>
        <w:t>[1.77, 2.27]</w:t>
      </w:r>
      <w:r>
        <w:t xml:space="preserve"> — always below the chance value of 2.50 — but </w:t>
      </w:r>
      <w:r>
        <w:rPr>
          <w:b/>
        </w:rPr>
      </w:r>
      <w:r>
        <w:t>p &lt; 0.05 in only</w:t>
      </w:r>
    </w:p>
    <w:p>
      <w:pPr>
        <w:jc w:val="both"/>
      </w:pPr>
      <w:r>
        <w:t>49% of re-runs</w:t>
      </w:r>
      <w:r>
        <w:rPr>
          <w:b/>
        </w:rPr>
      </w:r>
      <w:r>
        <w:t xml:space="preserve"> (median p = 0.054, range [0.004, 0.374]). The preference is real</w:t>
      </w:r>
    </w:p>
    <w:p>
      <w:pPr>
        <w:jc w:val="both"/>
      </w:pPr>
      <w:r>
        <w:t xml:space="preserve">and is probably </w:t>
      </w:r>
      <w:r>
        <w:rPr>
          <w:i/>
        </w:rPr>
        <w:t>stronger</w:t>
      </w:r>
      <w:r>
        <w:t xml:space="preserve"> than 2.00 indicates, because measurement error</w:t>
      </w:r>
    </w:p>
    <w:p>
      <w:pPr>
        <w:jc w:val="both"/>
      </w:pPr>
      <w:r>
        <w:t>attenuates rank effects toward chance. What a single run cannot support is the</w:t>
      </w:r>
    </w:p>
    <w:p>
      <w:pPr>
        <w:jc w:val="both"/>
      </w:pPr>
      <w:r>
        <w:t>precision of its own verdict, and Section 7.4's p = 0.034 should be read that way.</w:t>
      </w:r>
    </w:p>
    <w:p>
      <w:pPr>
        <w:jc w:val="both"/>
      </w:pPr>
      <w:r>
        <w:rPr>
          <w:b/>
        </w:rPr>
        <w:t>Consequence for method.</w:t>
      </w:r>
      <w:r>
        <w:t xml:space="preserve"> Supporting per-receptor claims requires roughly 9–16</w:t>
      </w:r>
    </w:p>
    <w:p>
      <w:pPr>
        <w:jc w:val="both"/>
      </w:pPr>
      <w:r>
        <w:t>replicate folds per complex (SE 0.021–0.016 against competitor gaps near 0.05),</w:t>
      </w:r>
    </w:p>
    <w:p>
      <w:pPr>
        <w:jc w:val="both"/>
      </w:pPr>
      <w:r>
        <w:t>i.e. 1,200–2,100 folds for the panel. That is a GPU-scale workload, which makes</w:t>
      </w:r>
    </w:p>
    <w:p>
      <w:pPr>
        <w:jc w:val="both"/>
      </w:pPr>
      <w:r>
        <w:t>the deferred CUDA phase a prerequisite for the next round rather than a</w:t>
      </w:r>
    </w:p>
    <w:p>
      <w:pPr>
        <w:jc w:val="both"/>
      </w:pPr>
      <w:r>
        <w:t>throughput improvement.</w:t>
      </w:r>
    </w:p>
    <w:p>
      <w:pPr>
        <w:jc w:val="both"/>
      </w:pPr>
      <w:r>
        <w:t>The observation generalises beyond this project: ranking candidate binders from a</w:t>
      </w:r>
    </w:p>
    <w:p>
      <w:pPr>
        <w:jc w:val="both"/>
      </w:pPr>
      <w:r>
        <w:rPr>
          <w:i/>
        </w:rPr>
        <w:t>single</w:t>
      </w:r>
      <w:r>
        <w:t xml:space="preserve"> AlphaFold or Boltz run is common practice, and at reduced sampling</w:t>
      </w:r>
    </w:p>
    <w:p>
      <w:pPr>
        <w:jc w:val="both"/>
      </w:pPr>
      <w:r>
        <w:t>settings a single run does not reproduce its own ranking.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8. CONCLUSIONS AND RECOMMENDATIONS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8.1 Conclusions</w:t>
      </w:r>
    </w:p>
    <w:p>
      <w:pPr>
        <w:jc w:val="both"/>
      </w:pPr>
      <w:r>
        <w:rPr>
          <w:b/>
        </w:rPr>
        <w:t>On the engineering objectives.</w:t>
      </w:r>
      <w:r>
        <w:t xml:space="preserve"> Objectives 1 to 4 of Section 1.3 were met.</w:t>
      </w:r>
    </w:p>
    <w:p>
      <w:pPr>
        <w:jc w:val="both"/>
      </w:pPr>
      <w:r>
        <w:t>The Boltz inference path executes device-agnostically on Apple Silicon, with 16</w:t>
      </w:r>
    </w:p>
    <w:p>
      <w:pPr>
        <w:jc w:val="both"/>
      </w:pPr>
      <w:r>
        <w:t>CUDA dependencies removed and autocast and cache eviction dispatched by device.</w:t>
      </w:r>
    </w:p>
    <w:p>
      <w:pPr>
        <w:jc w:val="both"/>
      </w:pPr>
      <w:r>
        <w:t xml:space="preserve">Target-side latent key-value caching reduces cached state from </w:t>
      </w:r>
      <w:r>
        <w:rPr>
          <w:rFonts w:ascii="Courier New" w:hAnsi="Courier New"/>
          <w:sz w:val="19"/>
          <w:shd w:fill="f7fafc"/>
        </w:rPr>
        <w:t>2 × N × D</w:t>
      </w:r>
      <w:r>
        <w:t xml:space="preserve"> to</w:t>
      </w:r>
    </w:p>
    <w:p>
      <w:pPr>
        <w:jc w:val="both"/>
      </w:pPr>
      <w:r>
        <w:rPr>
          <w:rFonts w:ascii="Courier New" w:hAnsi="Courier New"/>
          <w:sz w:val="19"/>
          <w:shd w:fill="f7fafc"/>
        </w:rPr>
        <w:t>N × D_latent</w:t>
      </w:r>
      <w:r>
        <w:t>, an 87.5% reduction at the operating point used here. The</w:t>
      </w:r>
    </w:p>
    <w:p>
      <w:pPr>
        <w:jc w:val="both"/>
      </w:pPr>
      <w:r>
        <w:t>low-rank pair representation, the classifier-free-guidance student and the</w:t>
      </w:r>
    </w:p>
    <w:p>
      <w:pPr>
        <w:jc w:val="both"/>
      </w:pPr>
      <w:r>
        <w:t>neural coordinate refiner are integrated and verified numerically against their</w:t>
      </w:r>
    </w:p>
    <w:p>
      <w:pPr>
        <w:jc w:val="both"/>
      </w:pPr>
      <w:r>
        <w:t>dense references. A 99-test suite runs under continuous integration.</w:t>
      </w:r>
    </w:p>
    <w:p>
      <w:pPr>
        <w:jc w:val="both"/>
      </w:pPr>
      <w:r>
        <w:rPr>
          <w:b/>
        </w:rPr>
        <w:t>On the validation objective.</w:t>
      </w:r>
      <w:r>
        <w:t xml:space="preserve"> Objective 5 produced results that qualify two</w:t>
      </w:r>
    </w:p>
    <w:p>
      <w:pPr>
        <w:jc w:val="both"/>
      </w:pPr>
      <w:r>
        <w:t>of the four engineering claims, and both qualifications are properties of the</w:t>
      </w:r>
    </w:p>
    <w:p>
      <w:pPr>
        <w:jc w:val="both"/>
      </w:pPr>
      <w:r>
        <w:t>problem rather than of the implementation.</w:t>
      </w:r>
    </w:p>
    <w:p>
      <w:pPr>
        <w:jc w:val="both"/>
      </w:pPr>
      <w:r>
        <w:t xml:space="preserve">First, </w:t>
      </w:r>
      <w:r>
        <w:rPr>
          <w:b/>
        </w:rPr>
      </w:r>
      <w:r>
        <w:t>the low-rank pair representation is not reachable on pretrained</w:t>
      </w:r>
    </w:p>
    <w:p>
      <w:pPr>
        <w:jc w:val="both"/>
      </w:pPr>
      <w:r>
        <w:t>weights</w:t>
      </w:r>
      <w:r>
        <w:rPr>
          <w:b/>
        </w:rPr>
      </w:r>
      <w:r>
        <w:t xml:space="preserve"> (Section 7.1). Three progressively stricter experiments converge on a</w:t>
      </w:r>
    </w:p>
    <w:p>
      <w:pPr>
        <w:jc w:val="both"/>
      </w:pPr>
      <w:r>
        <w:t>held-out error of 0.378 at rank 32, where training and held-out error coincide —</w:t>
      </w:r>
    </w:p>
    <w:p>
      <w:pPr>
        <w:jc w:val="both"/>
      </w:pPr>
      <w:r>
        <w:t>the signature of a model at capacity rather than one starved of data. The fitted</w:t>
      </w:r>
    </w:p>
    <w:p>
      <w:pPr>
        <w:jc w:val="both"/>
      </w:pPr>
      <w:r>
        <w:t xml:space="preserve">scaling law places 10% error at rank ≈1,414, against the </w:t>
      </w:r>
      <w:r>
        <w:rPr>
          <w:rFonts w:ascii="Courier New" w:hAnsi="Courier New"/>
          <w:sz w:val="19"/>
          <w:shd w:fill="f7fafc"/>
        </w:rPr>
        <w:t>c_hidden² = 1024</w:t>
      </w:r>
    </w:p>
    <w:p>
      <w:pPr>
        <w:jc w:val="both"/>
      </w:pPr>
      <w:r>
        <w:t>width that the stock implementation actually materialises. The low-rank form</w:t>
      </w:r>
    </w:p>
    <w:p>
      <w:pPr>
        <w:jc w:val="both"/>
      </w:pPr>
      <w:r>
        <w:t>therefore costs more activation memory than the operator it replaces before it</w:t>
      </w:r>
    </w:p>
    <w:p>
      <w:pPr>
        <w:jc w:val="both"/>
      </w:pPr>
      <w:r>
        <w:t>becomes accurate enough to substitute for it. The 1502× figure in Table 3</w:t>
      </w:r>
    </w:p>
    <w:p>
      <w:pPr>
        <w:jc w:val="both"/>
      </w:pPr>
      <w:r>
        <w:t xml:space="preserve">remains valid as a scaling measurement for a network </w:t>
      </w:r>
      <w:r>
        <w:rPr>
          <w:i/>
        </w:rPr>
        <w:t>trained</w:t>
      </w:r>
      <w:r>
        <w:t xml:space="preserve"> around the layer;</w:t>
      </w:r>
    </w:p>
    <w:p>
      <w:pPr>
        <w:jc w:val="both"/>
      </w:pPr>
      <w:r>
        <w:t>it is not a drop-in saving.</w:t>
      </w:r>
    </w:p>
    <w:p>
      <w:pPr>
        <w:jc w:val="both"/>
      </w:pPr>
      <w:r>
        <w:t xml:space="preserve">Second, </w:t>
      </w:r>
      <w:r>
        <w:rPr>
          <w:b/>
        </w:rPr>
        <w:t>interface confidence does not rank peptide binders reliably</w:t>
      </w:r>
    </w:p>
    <w:p>
      <w:pPr>
        <w:jc w:val="both"/>
      </w:pPr>
      <w:r>
        <w:t>(Sections 7.2 to 7.5). On a PTM-clean panel of 22 receptors and 132 complexes,</w:t>
      </w:r>
    </w:p>
    <w:p>
      <w:pPr>
        <w:jc w:val="both"/>
      </w:pPr>
      <w:r>
        <w:t>scrambled peptides score indistinguishably from cognates and significantly above</w:t>
      </w:r>
    </w:p>
    <w:p>
      <w:pPr>
        <w:jc w:val="both"/>
      </w:pPr>
      <w:r>
        <w:t>genuine binders of other receptors (AUC 0.632, p = 0.0096). Since a scramble</w:t>
      </w:r>
    </w:p>
    <w:p>
      <w:pPr>
        <w:jc w:val="both"/>
      </w:pPr>
      <w:r>
        <w:t>preserves composition and length and destroys only order, the discriminating</w:t>
      </w:r>
    </w:p>
    <w:p>
      <w:pPr>
        <w:jc w:val="both"/>
      </w:pPr>
      <w:r>
        <w:t>variable is composition. Any order effect is bounded at 63% of the composition</w:t>
      </w:r>
    </w:p>
    <w:p>
      <w:pPr>
        <w:jc w:val="both"/>
      </w:pPr>
      <w:r>
        <w:t>effect. A ridge regression on additive amino-acid composition independently</w:t>
      </w:r>
    </w:p>
    <w:p>
      <w:pPr>
        <w:jc w:val="both"/>
      </w:pPr>
      <w:r>
        <w:t>outperformed the distilled neural surrogate (+0.103 against −0.034, z = 3.44),</w:t>
      </w:r>
    </w:p>
    <w:p>
      <w:pPr>
        <w:jc w:val="both"/>
      </w:pPr>
      <w:r>
        <w:t>reaching the same conclusion from an unrelated direction.</w:t>
      </w:r>
    </w:p>
    <w:p>
      <w:pPr>
        <w:jc w:val="both"/>
      </w:pPr>
      <w:r>
        <w:t xml:space="preserve">Third, and generalising beyond this project, </w:t>
      </w:r>
      <w:r>
        <w:rPr>
          <w:b/>
        </w:rPr>
      </w:r>
      <w:r>
        <w:t>a single unseeded fold does not</w:t>
      </w:r>
    </w:p>
    <w:p>
      <w:pPr>
        <w:jc w:val="both"/>
      </w:pPr>
      <w:r>
        <w:t>reproduce its own ranking</w:t>
      </w:r>
      <w:r>
        <w:rPr>
          <w:b/>
        </w:rPr>
      </w:r>
      <w:r>
        <w:t xml:space="preserve"> (Section 7.5). Pooled within-complex ipTM standard</w:t>
      </w:r>
    </w:p>
    <w:p>
      <w:pPr>
        <w:jc w:val="both"/>
      </w:pPr>
      <w:r>
        <w:t>deviation is 0.0628. Across four identical re-runs, all four receptors tested</w:t>
      </w:r>
    </w:p>
    <w:p>
      <w:pPr>
        <w:jc w:val="both"/>
      </w:pPr>
      <w:r>
        <w:t>changed the rank of their cognate, one moving from best to worst. Re-simulating</w:t>
      </w:r>
    </w:p>
    <w:p>
      <w:pPr>
        <w:jc w:val="both"/>
      </w:pPr>
      <w:r>
        <w:t>the benchmark under that noise leaves the aggregate effect intact but reduces</w:t>
      </w:r>
    </w:p>
    <w:p>
      <w:pPr>
        <w:jc w:val="both"/>
      </w:pPr>
      <w:r>
        <w:t>the headline significance verdict to a coin flip: p &lt; 0.05 in 49% of re-runs.</w:t>
      </w:r>
    </w:p>
    <w:p>
      <w:pPr>
        <w:jc w:val="both"/>
      </w:pPr>
      <w:r>
        <w:t>Ranking candidate binders from a single folding run is common practice, and at</w:t>
      </w:r>
    </w:p>
    <w:p>
      <w:pPr>
        <w:jc w:val="both"/>
      </w:pPr>
      <w:r>
        <w:t>reduced sampling settings it is not reproducible.</w:t>
      </w:r>
    </w:p>
    <w:p>
      <w:pPr>
        <w:jc w:val="both"/>
      </w:pPr>
      <w:r>
        <w:rPr>
          <w:b/>
        </w:rPr>
        <w:t>Overall.</w:t>
      </w:r>
      <w:r>
        <w:t xml:space="preserve"> The efficiency techniques transfer as engineering. The accuracy</w:t>
      </w:r>
    </w:p>
    <w:p>
      <w:pPr>
        <w:jc w:val="both"/>
      </w:pPr>
      <w:r>
        <w:t>claims that would have made them useful for screening do not survive</w:t>
      </w:r>
    </w:p>
    <w:p>
      <w:pPr>
        <w:jc w:val="both"/>
      </w:pPr>
      <w:r>
        <w:t>measurement. Reporting this is the substantive contribution: each negative</w:t>
      </w:r>
    </w:p>
    <w:p>
      <w:pPr>
        <w:jc w:val="both"/>
      </w:pPr>
      <w:r>
        <w:t>result is established with controls, held-out splits, power analysis and</w:t>
      </w:r>
    </w:p>
    <w:p>
      <w:pPr>
        <w:jc w:val="both"/>
      </w:pPr>
      <w:r>
        <w:t>replication, and each redirects effort away from a direction that would not have</w:t>
      </w:r>
    </w:p>
    <w:p>
      <w:pPr>
        <w:jc w:val="both"/>
      </w:pPr>
      <w:r>
        <w:t>worked.</w:t>
      </w:r>
    </w:p>
    <w:p>
      <w:pPr>
        <w:pStyle w:val="Heading2"/>
        <w:keepNext/>
        <w:spacing w:before="280" w:after="120"/>
      </w:pPr>
      <w:r>
        <w:rPr>
          <w:rFonts w:ascii="Times New Roman" w:hAnsi="Times New Roman"/>
          <w:b/>
          <w:color w:val="1A365D"/>
          <w:sz w:val="28"/>
        </w:rPr>
        <w:t>8.2 Recommendations</w:t>
      </w:r>
    </w:p>
    <w:p>
      <w:pPr>
        <w:jc w:val="both"/>
      </w:pPr>
      <w:r>
        <w:t xml:space="preserve">1. </w:t>
      </w:r>
      <w:r>
        <w:rPr>
          <w:b/>
        </w:rPr>
        <w:t>Report replicate-averaged confidence, never a single fold.</w:t>
      </w:r>
      <w:r>
        <w:t xml:space="preserve"> On this</w:t>
      </w:r>
    </w:p>
    <w:p>
      <w:pPr>
        <w:jc w:val="both"/>
      </w:pPr>
      <w:r>
        <w:t>evidence, 9 to 16 replicate folds per complex are required before a</w:t>
      </w:r>
    </w:p>
    <w:p>
      <w:pPr>
        <w:jc w:val="both"/>
      </w:pPr>
      <w:r>
        <w:t>per-receptor ranking is meaningful. Practitioners ranking binders on a single</w:t>
      </w:r>
    </w:p>
    <w:p>
      <w:pPr>
        <w:jc w:val="both"/>
      </w:pPr>
      <w:r>
        <w:t>AlphaFold or Boltz run should treat those rankings as provisional.</w:t>
      </w:r>
    </w:p>
    <w:p>
      <w:pPr>
        <w:jc w:val="both"/>
      </w:pPr>
      <w:r>
        <w:t xml:space="preserve">2. </w:t>
      </w:r>
      <w:r>
        <w:rPr>
          <w:b/>
        </w:rPr>
        <w:t>Always include a scramble control.</w:t>
      </w:r>
      <w:r>
        <w:t xml:space="preserve"> Composition and length alone reproduce</w:t>
      </w:r>
    </w:p>
    <w:p>
      <w:pPr>
        <w:jc w:val="both"/>
      </w:pPr>
      <w:r>
        <w:t>most of the apparent discrimination between a cognate and a decoy. Without a</w:t>
      </w:r>
    </w:p>
    <w:p>
      <w:pPr>
        <w:jc w:val="both"/>
      </w:pPr>
      <w:r>
        <w:t>composition-matched control, a benchmark cannot distinguish binder</w:t>
      </w:r>
    </w:p>
    <w:p>
      <w:pPr>
        <w:jc w:val="both"/>
      </w:pPr>
      <w:r>
        <w:t>recognition from composition sensitivity.</w:t>
      </w:r>
    </w:p>
    <w:p>
      <w:pPr>
        <w:jc w:val="both"/>
      </w:pPr>
      <w:r>
        <w:t xml:space="preserve">3. </w:t>
      </w:r>
      <w:r>
        <w:rPr>
          <w:b/>
        </w:rPr>
        <w:t>Screen benchmark panels for post-translational modifications.</w:t>
      </w:r>
      <w:r>
        <w:t xml:space="preserve"> Seven of 25</w:t>
      </w:r>
    </w:p>
    <w:p>
      <w:pPr>
        <w:jc w:val="both"/>
      </w:pPr>
      <w:r>
        <w:t>candidate complexes were PTM-dependent; folding the canonical sequence makes</w:t>
      </w:r>
    </w:p>
    <w:p>
      <w:pPr>
        <w:jc w:val="both"/>
      </w:pPr>
      <w:r>
        <w:t>those "positives" non-binding, which silently penalises the metric under test.</w:t>
      </w:r>
    </w:p>
    <w:p>
      <w:pPr>
        <w:jc w:val="both"/>
      </w:pPr>
      <w:r>
        <w:t xml:space="preserve">4. </w:t>
      </w:r>
      <w:r>
        <w:rPr>
          <w:b/>
        </w:rPr>
        <w:t>Do not treat operator-level memory savings as drop-in.</w:t>
      </w:r>
      <w:r>
        <w:t xml:space="preserve"> A substituted</w:t>
      </w:r>
    </w:p>
    <w:p>
      <w:pPr>
        <w:jc w:val="both"/>
      </w:pPr>
      <w:r>
        <w:t>operator should be validated against pretrained weights on real activations</w:t>
      </w:r>
    </w:p>
    <w:p>
      <w:pPr>
        <w:jc w:val="both"/>
      </w:pPr>
      <w:r>
        <w:t>before its microbenchmark saving is claimed.</w:t>
      </w:r>
    </w:p>
    <w:p>
      <w:pPr>
        <w:jc w:val="both"/>
      </w:pPr>
      <w:r>
        <w:t xml:space="preserve">5. </w:t>
      </w:r>
      <w:r>
        <w:rPr>
          <w:b/>
        </w:rPr>
        <w:t>Deploy on GPU before extending the biological claims.</w:t>
      </w:r>
      <w:r>
        <w:t xml:space="preserve"> The replicate</w:t>
      </w:r>
    </w:p>
    <w:p>
      <w:pPr>
        <w:jc w:val="both"/>
      </w:pPr>
      <w:r>
        <w:t>folding required by recommendation 1 is a 1,200–2,100 fold workload for this</w:t>
      </w:r>
    </w:p>
    <w:p>
      <w:pPr>
        <w:jc w:val="both"/>
      </w:pPr>
      <w:r>
        <w:t>panel, which is not a CPU-scale task.</w:t>
      </w:r>
    </w:p>
    <w:p>
      <w:r>
        <w:br w:type="page"/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9. FUTURE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Sl No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Phases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Start Date - End Date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Work to be done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Status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Dissertation Outline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05 Jan 2026 – 04 Feb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Literature review and prepare outline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Local Design &amp; Implementation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05 Feb 2026 – 20 Mar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Develop MLA, Fold-CP, SpecSampler, and g-DPO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Pre-trained Weight Verification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21 Mar 2026 – 10 Jun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Run local predictions with Boltz-1 parameters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Edge Optimization &amp; Integration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11 Jun 2026 – 22 Jun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Integrate Low-Rank, CFG student, and Neural Refiner; resolve MPS dependencies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Reference &amp; Surrogate Validation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23 Jun 2026 – 31 Jul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Measure ipTM as a ranking reference against PDB complexes; distil and evaluate the surrogate; establish the low-rank OPM reachability result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Production GPU Scaling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01 Aug 2026 – 20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Deploy on CUDA and run NCCL scale tests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Powered Specificity Run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01 Aug 2026 – 02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 the 22-receptor Boltz-2 benchmark (Section 7.4)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Measurement Reproducibility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02 Aug 2026 – 02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Quantify ipTM run-to-run variance (Section 7.5)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COMPLETED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Replicate-Averaged Rerun (GPU)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03 Aug 2026 – 20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9-16 replicate folds per complex; requires CUDA deployment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Final Thesis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03 Aug 2026 – 28 Aug 2026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Consolidate results and write the dissertation</w:t>
            </w:r>
          </w:p>
        </w:tc>
        <w:tc>
          <w:tcPr>
            <w:tcW w:type="dxa" w:w="1806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IN PROGRESS</w:t>
            </w:r>
          </w:p>
        </w:tc>
      </w:tr>
    </w:tbl>
    <w:p/>
    <w:p>
      <w:pPr>
        <w:jc w:val="both"/>
      </w:pPr>
      <w:r>
        <w:rPr>
          <w:b/>
        </w:rPr>
        <w:t>Change of plan, and why.</w:t>
      </w:r>
      <w:r>
        <w:t xml:space="preserve"> The original phase 5 (CUDA/NCCL scaling) was</w:t>
      </w:r>
    </w:p>
    <w:p>
      <w:pPr>
        <w:jc w:val="both"/>
      </w:pPr>
      <w:r>
        <w:t>deferred in favour of validating the scoring reference, because the binder</w:t>
      </w:r>
    </w:p>
    <w:p>
      <w:pPr>
        <w:jc w:val="both"/>
      </w:pPr>
      <w:r>
        <w:t>screen planned for phase 6 depends on it: a screen ranked by a signal that does</w:t>
      </w:r>
    </w:p>
    <w:p>
      <w:pPr>
        <w:jc w:val="both"/>
      </w:pPr>
      <w:r>
        <w:t>not discriminate binders would produce candidates with no meaning regardless of</w:t>
      </w:r>
    </w:p>
    <w:p>
      <w:pPr>
        <w:jc w:val="both"/>
      </w:pPr>
      <w:r>
        <w:t>how fast it ran. That validation (Section 7.2) showed the dependency does not</w:t>
      </w:r>
    </w:p>
    <w:p>
      <w:pPr>
        <w:jc w:val="both"/>
      </w:pPr>
      <w:r>
        <w:t>hold, which is why the remaining plan prioritises the powered specificity run</w:t>
      </w:r>
    </w:p>
    <w:p>
      <w:pPr>
        <w:jc w:val="both"/>
      </w:pPr>
      <w:r>
        <w:t>over the TNF-alpha screen. Scaling work remains valuable for throughput but no</w:t>
      </w:r>
    </w:p>
    <w:p>
      <w:pPr>
        <w:jc w:val="both"/>
      </w:pPr>
      <w:r>
        <w:t>longer sits on the critical path to a defensible result.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10. REFERENCES</w:t>
      </w:r>
    </w:p>
    <w:p>
      <w:pPr>
        <w:jc w:val="both"/>
      </w:pPr>
      <w:r>
        <w:t xml:space="preserve">1. Jumper, J., Evans, R., Pritzel, A. et al., "Highly Accurate Protein Structure Prediction with AlphaFold," </w:t>
      </w:r>
      <w:r>
        <w:rPr>
          <w:i/>
        </w:rPr>
        <w:t>Nature</w:t>
      </w:r>
      <w:r>
        <w:t>, Vol. 596, 2021, pp. 583–589.</w:t>
      </w:r>
    </w:p>
    <w:p>
      <w:pPr>
        <w:jc w:val="both"/>
      </w:pPr>
      <w:r>
        <w:t xml:space="preserve">2. Evans, R., O'Neill, M., Pritzel, A. et al., "Protein Complex Prediction with AlphaFold-Multimer," </w:t>
      </w:r>
      <w:r>
        <w:rPr>
          <w:i/>
        </w:rPr>
        <w:t>bioRxiv</w:t>
      </w:r>
      <w:r>
        <w:t>, 2022.</w:t>
      </w:r>
    </w:p>
    <w:p>
      <w:pPr>
        <w:jc w:val="both"/>
      </w:pPr>
      <w:r>
        <w:t xml:space="preserve">3. Abramson, J., Adler, J., Dunger, J. et al., "Accurate Structure Prediction of Biomolecular Interactions with AlphaFold 3," </w:t>
      </w:r>
      <w:r>
        <w:rPr>
          <w:i/>
        </w:rPr>
        <w:t>Nature</w:t>
      </w:r>
      <w:r>
        <w:t>, Vol. 630, 2024, pp. 493–500.</w:t>
      </w:r>
    </w:p>
    <w:p>
      <w:pPr>
        <w:jc w:val="both"/>
      </w:pPr>
      <w:r>
        <w:t xml:space="preserve">4. Wohlwend, J., Corso, G., Passaro, S. et al., "Boltz-1: Democratizing Biomolecular Interaction Modeling," </w:t>
      </w:r>
      <w:r>
        <w:rPr>
          <w:i/>
        </w:rPr>
        <w:t>bioRxiv</w:t>
      </w:r>
      <w:r>
        <w:t>, 2024.</w:t>
      </w:r>
    </w:p>
    <w:p>
      <w:pPr>
        <w:jc w:val="both"/>
      </w:pPr>
      <w:r>
        <w:t>5. Passaro, S., Corso, G., Wohlwend, J. et al., "Boltz-2: Towards Accurate and Efficient Binding Affinity Prediction," Technical Report, MIT, 2025.</w:t>
      </w:r>
    </w:p>
    <w:p>
      <w:pPr>
        <w:jc w:val="both"/>
      </w:pPr>
      <w:r>
        <w:t xml:space="preserve">6. Hu, E. J., Shen, Y., Wallis, P. et al., "LoRA: Low-Rank Adaptation of Large Language Models," </w:t>
      </w:r>
      <w:r>
        <w:rPr>
          <w:i/>
        </w:rPr>
        <w:t>International Conference on Learning Representations (ICLR)</w:t>
      </w:r>
      <w:r>
        <w:t>, 2022.</w:t>
      </w:r>
    </w:p>
    <w:p>
      <w:pPr>
        <w:jc w:val="both"/>
      </w:pPr>
      <w:r>
        <w:t xml:space="preserve">7. Leviathan, Y., Kalman, M., Matias, Y., "Fast Inference from Transformers via Speculative Decoding," </w:t>
      </w:r>
      <w:r>
        <w:rPr>
          <w:i/>
        </w:rPr>
        <w:t>International Conference on Machine Learning (ICML)</w:t>
      </w:r>
      <w:r>
        <w:t>, 2023.</w:t>
      </w:r>
    </w:p>
    <w:p>
      <w:pPr>
        <w:jc w:val="both"/>
      </w:pPr>
      <w:r>
        <w:t xml:space="preserve">8. Ho, J., Salimans, T., "Classifier-Free Diffusion Guidance," </w:t>
      </w:r>
      <w:r>
        <w:rPr>
          <w:i/>
        </w:rPr>
        <w:t>NeurIPS Workshop on Deep Generative Models and Downstream Applications</w:t>
      </w:r>
      <w:r>
        <w:t>, 2021.</w:t>
      </w:r>
    </w:p>
    <w:p>
      <w:pPr>
        <w:jc w:val="both"/>
      </w:pPr>
      <w:r>
        <w:t xml:space="preserve">9. Song, Y., Dhariwal, P., Chen, M., Sutskever, I., "Consistency Models," </w:t>
      </w:r>
      <w:r>
        <w:rPr>
          <w:i/>
        </w:rPr>
        <w:t>International Conference on Machine Learning (ICML)</w:t>
      </w:r>
      <w:r>
        <w:t>, 2023.</w:t>
      </w:r>
    </w:p>
    <w:p>
      <w:pPr>
        <w:jc w:val="both"/>
      </w:pPr>
      <w:r>
        <w:t xml:space="preserve">10. DeepSeek-AI, "DeepSeek-V2: A Strong, Economical, and Efficient Mixture-of-Experts Language Model," </w:t>
      </w:r>
      <w:r>
        <w:rPr>
          <w:i/>
        </w:rPr>
        <w:t>arXiv preprint</w:t>
      </w:r>
      <w:r>
        <w:t>, 2024.</w:t>
      </w:r>
    </w:p>
    <w:p>
      <w:pPr>
        <w:jc w:val="both"/>
      </w:pPr>
      <w:r>
        <w:t xml:space="preserve">11. Liu, H., Zaharia, M., Abbeel, P., "Ring Attention with Blockwise Transformers for Near-Infinite Context," </w:t>
      </w:r>
      <w:r>
        <w:rPr>
          <w:i/>
        </w:rPr>
        <w:t>arXiv preprint</w:t>
      </w:r>
      <w:r>
        <w:t>, 2023.</w:t>
      </w:r>
    </w:p>
    <w:p>
      <w:pPr>
        <w:jc w:val="both"/>
      </w:pPr>
      <w:r>
        <w:t xml:space="preserve">12. Meng, Y., Xia, M., Chen, D., "SimPO: Simple Preference Optimization with a Reference-Free Reward," </w:t>
      </w:r>
      <w:r>
        <w:rPr>
          <w:i/>
        </w:rPr>
        <w:t>Advances in Neural Information Processing Systems (NeurIPS)</w:t>
      </w:r>
      <w:r>
        <w:t>, 2024.</w:t>
      </w:r>
    </w:p>
    <w:p>
      <w:pPr>
        <w:jc w:val="both"/>
      </w:pPr>
      <w:r>
        <w:t xml:space="preserve">13. Rafailov, R., Sharma, A., Mitchell, E. et al., "Direct Preference Optimization: Your Language Model is Secretly a Reward Model," </w:t>
      </w:r>
      <w:r>
        <w:rPr>
          <w:i/>
        </w:rPr>
        <w:t>Advances in Neural Information Processing Systems (NeurIPS)</w:t>
      </w:r>
      <w:r>
        <w:t>, 2023.</w:t>
      </w:r>
    </w:p>
    <w:p>
      <w:pPr>
        <w:jc w:val="both"/>
      </w:pPr>
      <w:r>
        <w:t xml:space="preserve">14. Kolda, T. G., Bader, B. W., "Tensor Decompositions and Applications," </w:t>
      </w:r>
      <w:r>
        <w:rPr>
          <w:i/>
        </w:rPr>
        <w:t>SIAM Review</w:t>
      </w:r>
      <w:r>
        <w:t>, Vol. 51, No. 3, 2009, pp. 455–500.</w:t>
      </w:r>
    </w:p>
    <w:p>
      <w:pPr>
        <w:jc w:val="both"/>
      </w:pPr>
      <w:r>
        <w:t xml:space="preserve">15. Berman, H. M., Westbrook, J., Feng, Z. et al., "The Protein Data Bank," </w:t>
      </w:r>
      <w:r>
        <w:rPr>
          <w:i/>
        </w:rPr>
        <w:t>Nucleic Acids Research</w:t>
      </w:r>
      <w:r>
        <w:t>, Vol. 28, No. 1, 2000, pp. 235–242.</w:t>
      </w:r>
    </w:p>
    <w:p>
      <w:pPr>
        <w:jc w:val="both"/>
      </w:pPr>
      <w:r>
        <w:t xml:space="preserve">16. Mirdita, M., Schütze, K., Moriwaki, Y. et al., "ColabFold: Making Protein Folding Accessible to All," </w:t>
      </w:r>
      <w:r>
        <w:rPr>
          <w:i/>
        </w:rPr>
        <w:t>Nature Methods</w:t>
      </w:r>
      <w:r>
        <w:t>, Vol. 19, 2022, pp. 679–682.</w:t>
      </w:r>
    </w:p>
    <w:p>
      <w:pPr>
        <w:jc w:val="both"/>
      </w:pPr>
      <w:r>
        <w:t xml:space="preserve">17. Steinegger, M., Söding, J., "MMseqs2 Enables Sensitive Protein Sequence Searching for the Analysis of Massive Data Sets," </w:t>
      </w:r>
      <w:r>
        <w:rPr>
          <w:i/>
        </w:rPr>
        <w:t>Nature Biotechnology</w:t>
      </w:r>
      <w:r>
        <w:t>, Vol. 35, 2017, pp. 1026–1028.</w:t>
      </w:r>
    </w:p>
    <w:p>
      <w:pPr>
        <w:jc w:val="both"/>
      </w:pPr>
      <w:r>
        <w:t xml:space="preserve">18. Zhang, Y., Skolnick, J., "Scoring Function for Automated Assessment of Protein Structure Template Quality," </w:t>
      </w:r>
      <w:r>
        <w:rPr>
          <w:i/>
        </w:rPr>
        <w:t>Proteins: Structure, Function, and Bioinformatics</w:t>
      </w:r>
      <w:r>
        <w:t>, Vol. 57, No. 4, 2004, pp. 702–710.</w:t>
      </w:r>
    </w:p>
    <w:p>
      <w:pPr>
        <w:jc w:val="both"/>
      </w:pPr>
      <w:r>
        <w:t xml:space="preserve">19. Hinton, G., Vinyals, O., Dean, J., "Distilling the Knowledge in a Neural Network," </w:t>
      </w:r>
      <w:r>
        <w:rPr>
          <w:i/>
        </w:rPr>
        <w:t>arXiv preprint</w:t>
      </w:r>
      <w:r>
        <w:t>, 2015.</w:t>
      </w:r>
    </w:p>
    <w:p>
      <w:pPr>
        <w:jc w:val="both"/>
      </w:pPr>
      <w:r>
        <w:t xml:space="preserve">20. Kussie, P. H., Gorina, S., Marechal, V. et al., "Structure of the MDM2 Oncoprotein Bound to the p53 Tumor Suppressor Transactivation Domain," </w:t>
      </w:r>
      <w:r>
        <w:rPr>
          <w:i/>
        </w:rPr>
        <w:t>Science</w:t>
      </w:r>
      <w:r>
        <w:t>, Vol. 274, No. 5289, 1996, pp. 948–953.</w:t>
      </w:r>
    </w:p>
    <w:p>
      <w:pPr>
        <w:jc w:val="both"/>
      </w:pPr>
      <w:r>
        <w:t xml:space="preserve">21. Watson, J. L., Juergens, D., Bennett, N. R. et al., "De Novo Design of Protein Structure and Function with RFdiffusion," </w:t>
      </w:r>
      <w:r>
        <w:rPr>
          <w:i/>
        </w:rPr>
        <w:t>Nature</w:t>
      </w:r>
      <w:r>
        <w:t>, Vol. 620, 2023, pp. 1089–1100.</w:t>
      </w:r>
    </w:p>
    <w:p>
      <w:pPr>
        <w:jc w:val="both"/>
      </w:pPr>
      <w:r>
        <w:t xml:space="preserve">22. Dauparas, J., Anishchenko, I., Bennett, N. et al., "Robust Deep Learning-Based Protein Sequence Design Using ProteinMPNN," </w:t>
      </w:r>
      <w:r>
        <w:rPr>
          <w:i/>
        </w:rPr>
        <w:t>Science</w:t>
      </w:r>
      <w:r>
        <w:t>, Vol. 378, No. 6615, 2022, pp. 49–56.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APPENDIX A — ABBREVIATIONS AND GLOSSARY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4514"/>
        <w:gridCol w:w="4514"/>
      </w:tblGrid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Abbreviation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Full Form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MLA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Multi-Head Latent Attention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Fold-CP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Folding Context Parallelism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TMU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Triangular Multiplication Unit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OPM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Outer Product Mean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CFG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Classifier-Free Guidance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MLP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Multi-Layer Perceptron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ANE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Apple Neural Engine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MPS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Metal Performance Shaders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VRAM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Video Random Access Memory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PDB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Protein Data Bank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CIF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Crystallographic Information File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ODE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Ordinary Differential Equation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pLDDT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Predicted Local Distance Difference Test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TM-score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Template Modeling Score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RMSD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Root Mean Square Deviation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OOM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Out Of Memory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ipTM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Interface Predicted TM-score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Multiple Sequence Alignment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CP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CANDECOMP/PARAFAC tensor decomposition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ALS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Alternating Least Squares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PTM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Post-Translational Modification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Area Under the ROC Curve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CI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Confidence Interval</w:t>
            </w:r>
          </w:p>
        </w:tc>
      </w:tr>
      <w:tr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RCSB</w:t>
            </w:r>
          </w:p>
        </w:tc>
        <w:tc>
          <w:tcPr>
            <w:tcW w:type="dxa" w:w="4514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Research Collaboratory for Structural Bioinformatics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APPENDIX B — REPRODUCTION OF THE REPORTED RESULTS</w:t>
      </w:r>
    </w:p>
    <w:p>
      <w:pPr>
        <w:jc w:val="both"/>
      </w:pPr>
      <w:r>
        <w:t>Every measurement in Section 7 is reproducible from the accompanying</w:t>
      </w:r>
    </w:p>
    <w:p>
      <w:pPr>
        <w:jc w:val="both"/>
      </w:pPr>
      <w:r>
        <w:t xml:space="preserve">repository. Each experiment writes a provenance manifest under </w:t>
      </w:r>
      <w:r>
        <w:rPr>
          <w:rFonts w:ascii="Courier New" w:hAnsi="Courier New"/>
          <w:sz w:val="19"/>
          <w:shd w:fill="f7fafc"/>
        </w:rPr>
        <w:t>results/real/</w:t>
      </w:r>
    </w:p>
    <w:p>
      <w:pPr>
        <w:jc w:val="both"/>
      </w:pPr>
      <w:r>
        <w:t>recording the code revision, seed, device, inference settings, exact command and</w:t>
      </w:r>
    </w:p>
    <w:p>
      <w:pPr>
        <w:jc w:val="both"/>
      </w:pPr>
      <w:r>
        <w:t>input checksums. Source code is not reproduced in this report; the commands</w:t>
      </w:r>
    </w:p>
    <w:p>
      <w:pPr>
        <w:jc w:val="both"/>
      </w:pPr>
      <w:r>
        <w:t>below identify the entry points.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Result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Section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Command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Low-rank OPM, weight-space projection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7.1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`python src/opm_cp_projection.py`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Low-rank OPM, activation capture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7.1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`python src/opm_corpus_capture.py --max-per-layer 66`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Low-rank OPM, corpus distillation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7.1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`python src/opm_corpus_distill.py --ranks 32,64,128`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PDB binder benchmark (Boltz-1)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7.2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`python src/pdb_binder_benchmark.py`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Boltz-1 vs Boltz-2 comparison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7.3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`python src/compare_boltz1_boltz2.py`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PTM audit of the panel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7.3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`python src/audit_panel_ptms.py`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Panel construction screen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`python src/discover_pdb_binders.py --want 14`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Powered 22-receptor run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7.4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`python src/pdb_binder_benchmark.py --model boltz2 --work-dir artifacts/pdb_binders_b2_n22`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Run-to-run variance study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7.5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`python src/seed_variance_study.py --replicates 4`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Verification suite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`python -m pytest -q`</w:t>
            </w:r>
          </w:p>
        </w:tc>
      </w:tr>
    </w:tbl>
    <w:p/>
    <w:p>
      <w:pPr>
        <w:jc w:val="both"/>
      </w:pPr>
      <w:r>
        <w:rPr>
          <w:b/>
        </w:rPr>
        <w:t>Inference settings used throughout Section 7</w:t>
      </w:r>
      <w:r>
        <w:t>, stated here so that no figure</w:t>
      </w:r>
    </w:p>
    <w:p>
      <w:pPr>
        <w:jc w:val="both"/>
      </w:pPr>
      <w:r>
        <w:t>in this report is read as a production-setting result: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010"/>
        <w:gridCol w:w="3010"/>
        <w:gridCol w:w="3010"/>
      </w:tblGrid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Setting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Value used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ebf8ff"/>
          </w:tcPr>
          <w:p>
            <w:pPr>
              <w:jc w:val="center"/>
            </w:pPr>
            <w:r>
              <w:rPr>
                <w:b/>
                <w:color w:val="2B6CB0"/>
                <w:sz w:val="19"/>
              </w:rPr>
              <w:t>Boltz default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Sampling steps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200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Recycling steps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MSA depth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8192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Accelerator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CPU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r>
              <w:rPr>
                <w:b w:val="0"/>
                <w:sz w:val="18"/>
              </w:rPr>
              <w:t>GPU</w:t>
            </w:r>
          </w:p>
        </w:tc>
      </w:tr>
      <w:tr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Diffusion seed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unseeded</w:t>
            </w:r>
          </w:p>
        </w:tc>
        <w:tc>
          <w:tcPr>
            <w:tcW w:type="dxa" w:w="301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 w:val="0"/>
                <w:sz w:val="18"/>
              </w:rPr>
              <w:t>unseeded</w:t>
            </w:r>
          </w:p>
        </w:tc>
      </w:tr>
    </w:tbl>
    <w:p/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Times New Roman" w:hAnsi="Times New Roman"/>
          <w:b/>
          <w:color w:val="0C2340"/>
          <w:sz w:val="36"/>
        </w:rPr>
        <w:t>CHECKLIST OF ITEMS FOR THE FINAL DISSERTATION / PROJECT / PROJECT WORK REPORT</w:t>
      </w:r>
    </w:p>
    <w:p>
      <w:pPr>
        <w:jc w:val="both"/>
      </w:pPr>
      <w:r>
        <w:t>&lt;table style="width:100%; border-collapse:collapse; font-size:8.6pt; line-height:1.25;"&gt;</w:t>
      </w:r>
    </w:p>
    <w:p>
      <w:pPr>
        <w:jc w:val="both"/>
      </w:pPr>
      <w:r>
        <w:t>&lt;thead&gt;</w:t>
      </w:r>
    </w:p>
    <w:p>
      <w:pPr>
        <w:jc w:val="both"/>
      </w:pPr>
      <w:r>
        <w:t>&lt;tr style="background:#0B2B52; color:#fff;"&gt;</w:t>
      </w:r>
    </w:p>
    <w:p>
      <w:pPr>
        <w:jc w:val="both"/>
      </w:pPr>
      <w:r>
        <w:t>&lt;th style="width:5%; padding:3px;"&gt;#&lt;/th&gt;</w:t>
      </w:r>
    </w:p>
    <w:p>
      <w:pPr>
        <w:jc w:val="both"/>
      </w:pPr>
      <w:r>
        <w:t>&lt;th style="text-align:left; padding:3px;"&gt;Item&lt;/th&gt;</w:t>
      </w:r>
    </w:p>
    <w:p>
      <w:pPr>
        <w:jc w:val="both"/>
      </w:pPr>
      <w:r>
        <w:t>&lt;th style="width:16%; padding:3px;"&gt;Yes / No&lt;/th&gt;</w:t>
      </w:r>
    </w:p>
    <w:p>
      <w:pPr>
        <w:jc w:val="both"/>
      </w:pPr>
      <w:r>
        <w:t>&lt;/tr&gt;</w:t>
      </w:r>
    </w:p>
    <w:p>
      <w:pPr>
        <w:jc w:val="both"/>
      </w:pPr>
      <w:r>
        <w:t>&lt;/thead&gt;</w:t>
      </w:r>
    </w:p>
    <w:p>
      <w:pPr>
        <w:jc w:val="both"/>
      </w:pPr>
      <w:r>
        <w:t>&lt;tbody&gt;</w:t>
      </w:r>
    </w:p>
    <w:p>
      <w:pPr>
        <w:jc w:val="both"/>
      </w:pPr>
      <w:r>
        <w:t>&lt;tr&gt;&lt;td style="text-align:center"&gt;1&lt;/td&gt;&lt;td&gt;Final report neatly formatted with all elements required for a technical report&lt;/td&gt;&lt;td style="text-align:center"&gt;Yes&lt;/td&gt;&lt;/tr&gt;</w:t>
      </w:r>
    </w:p>
    <w:p>
      <w:pPr>
        <w:jc w:val="both"/>
      </w:pPr>
      <w:r>
        <w:t>&lt;tr&gt;&lt;td style="text-align:center"&gt;2&lt;/td&gt;&lt;td&gt;Cover page in proper format as given in Annexure A&lt;/td&gt;&lt;td style="text-align:center"&gt;Yes&lt;/td&gt;&lt;/tr&gt;</w:t>
      </w:r>
    </w:p>
    <w:p>
      <w:pPr>
        <w:jc w:val="both"/>
      </w:pPr>
      <w:r>
        <w:t>&lt;tr&gt;&lt;td style="text-align:center"&gt;3&lt;/td&gt;&lt;td&gt;Title page (inner cover page) in proper format&lt;/td&gt;&lt;td style="text-align:center"&gt;Yes&lt;/td&gt;&lt;/tr&gt;</w:t>
      </w:r>
    </w:p>
    <w:p>
      <w:pPr>
        <w:jc w:val="both"/>
      </w:pPr>
      <w:r>
        <w:t xml:space="preserve">&lt;tr&gt;&lt;td style="text-align:center"&gt;4&lt;/td&gt;&lt;td&gt;(a) Certificate from the Supervisor in proper format </w:t>
      </w:r>
      <w:r>
        <w:t xml:space="preserve"> </w:t>
      </w:r>
      <w:r>
        <w:t xml:space="preserve"> (b) Signed by the Supervisor&lt;/td&gt;&lt;td style="text-align:center"&gt;(a) Yes&lt;br&gt;(b) To be signed&lt;/td&gt;&lt;/tr&gt;</w:t>
      </w:r>
    </w:p>
    <w:p>
      <w:pPr>
        <w:jc w:val="both"/>
      </w:pPr>
      <w:r>
        <w:t xml:space="preserve">&lt;tr&gt;&lt;td style="text-align:center"&gt;5&lt;/td&gt;&lt;td&gt;Abstract within one page </w:t>
      </w:r>
      <w:r>
        <w:t xml:space="preserve"> </w:t>
      </w:r>
      <w:r>
        <w:t xml:space="preserve"> / </w:t>
      </w:r>
      <w:r>
        <w:t xml:space="preserve"> </w:t>
      </w:r>
      <w:r>
        <w:t xml:space="preserve"> Technical keywords specified&lt;/td&gt;&lt;td style="text-align:center"&gt;Yes / Yes&lt;/td&gt;&lt;/tr&gt;</w:t>
      </w:r>
    </w:p>
    <w:p>
      <w:pPr>
        <w:jc w:val="both"/>
      </w:pPr>
      <w:r>
        <w:t>&lt;tr&gt;&lt;td style="text-align:center"&gt;6&lt;/td&gt;&lt;td&gt;Title appropriate, descriptive and precise; no uncommon abbreviations or acronyms&lt;/td&gt;&lt;td style="text-align:center"&gt;Yes&lt;/td&gt;&lt;/tr&gt;</w:t>
      </w:r>
    </w:p>
    <w:p>
      <w:pPr>
        <w:jc w:val="both"/>
      </w:pPr>
      <w:r>
        <w:t>&lt;tr&gt;&lt;td style="text-align:center"&gt;7&lt;/td&gt;&lt;td&gt;List of abbreviations / acronyms included&lt;/td&gt;&lt;td style="text-align:center"&gt;Yes&lt;/td&gt;&lt;/tr&gt;</w:t>
      </w:r>
    </w:p>
    <w:p>
      <w:pPr>
        <w:jc w:val="both"/>
      </w:pPr>
      <w:r>
        <w:t>&lt;tr&gt;&lt;td style="text-align:center"&gt;8&lt;/td&gt;&lt;td&gt;Report contains a summary of the literature survey&lt;/td&gt;&lt;td style="text-align:center"&gt;Yes&lt;/td&gt;&lt;/tr&gt;</w:t>
      </w:r>
    </w:p>
    <w:p>
      <w:pPr>
        <w:jc w:val="both"/>
      </w:pPr>
      <w:r>
        <w:t>&lt;tr&gt;&lt;td style="text-align:center"&gt;9&lt;/td&gt;&lt;td&gt;Contents include page numbers; pages numbered properly (Ch. 1 on page 1); figures numbered with captions at the bottom; tables numbered with titles at the top; captions proper; appendices numbered with appropriate titles&lt;/td&gt;&lt;td style="text-align:center"&gt;Yes&lt;/td&gt;&lt;/tr&gt;</w:t>
      </w:r>
    </w:p>
    <w:p>
      <w:pPr>
        <w:jc w:val="both"/>
      </w:pPr>
      <w:r>
        <w:t>&lt;tr&gt;&lt;td style="text-align:center"&gt;10&lt;/td&gt;&lt;td&gt;Conclusion based on discussion of the work&lt;/td&gt;&lt;td style="text-align:center"&gt;Yes&lt;/td&gt;&lt;/tr&gt;</w:t>
      </w:r>
    </w:p>
    <w:p>
      <w:pPr>
        <w:jc w:val="both"/>
      </w:pPr>
      <w:r>
        <w:t>&lt;tr&gt;&lt;td style="text-align:center"&gt;11&lt;/td&gt;&lt;td&gt;References given at the end; cited properly inside the text; all references cited in the body&lt;/td&gt;&lt;td style="text-align:center"&gt;Yes&lt;/td&gt;&lt;/tr&gt;</w:t>
      </w:r>
    </w:p>
    <w:p>
      <w:pPr>
        <w:jc w:val="both"/>
      </w:pPr>
      <w:r>
        <w:t>&lt;tr&gt;&lt;td style="text-align:center"&gt;12&lt;/td&gt;&lt;td&gt;Format and content per the guidelines; not a printout of a presentation or a user manual; source code not included&lt;/td&gt;&lt;td style="text-align:center"&gt;Yes&lt;/td&gt;&lt;/tr&gt;</w:t>
      </w:r>
    </w:p>
    <w:p>
      <w:pPr>
        <w:jc w:val="both"/>
      </w:pPr>
      <w:r>
        <w:t>&lt;/tbody&gt;</w:t>
      </w:r>
    </w:p>
    <w:p>
      <w:pPr>
        <w:jc w:val="both"/>
      </w:pPr>
      <w:r>
        <w:t>&lt;/table&gt;</w:t>
      </w:r>
    </w:p>
    <w:p>
      <w:pPr>
        <w:jc w:val="both"/>
      </w:pPr>
      <w:r>
        <w:t>&lt;p style="font-size:9.5pt; margin-top:10px;"&gt;</w:t>
      </w:r>
      <w:r>
        <w:rPr>
          <w:b/>
        </w:rPr>
        <w:t>Declaration by Student:</w:t>
      </w:r>
    </w:p>
    <w:p>
      <w:pPr>
        <w:jc w:val="both"/>
      </w:pPr>
      <w:r>
        <w:t>I certify that I have properly verified all the items in this checklist and</w:t>
      </w:r>
    </w:p>
    <w:p>
      <w:pPr>
        <w:jc w:val="both"/>
      </w:pPr>
      <w:r>
        <w:t>ensure that the report is in proper format as specified in the course handout.&lt;/p&gt;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Student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Akik Jana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Bangalore</w:t>
            </w:r>
          </w:p>
        </w:tc>
        <w:tc>
          <w:tcPr>
            <w:tcW w:type="dxa" w:w="4514"/>
          </w:tcPr>
          <w:p>
            <w:pPr>
              <w:spacing w:after="80"/>
            </w:pPr>
            <w:r>
              <w:rPr>
                <w:b/>
              </w:rPr>
              <w:t>_______________________________</w:t>
              <w:br/>
            </w:r>
            <w:r>
              <w:rPr>
                <w:b/>
                <w:sz w:val="22"/>
              </w:rPr>
              <w:t>Signature of the Supervisor</w:t>
              <w:br/>
            </w:r>
          </w:p>
          <w:p>
            <w:pPr>
              <w:spacing w:after="40"/>
            </w:pPr>
            <w:r>
              <w:rPr>
                <w:b/>
              </w:rPr>
              <w:t xml:space="preserve">Name: </w:t>
            </w:r>
            <w:r>
              <w:t>Dr. Arnab Bandyopadhyay</w:t>
              <w:br/>
            </w:r>
            <w:r>
              <w:rPr>
                <w:b/>
              </w:rPr>
              <w:t xml:space="preserve">Date: </w:t>
            </w:r>
            <w:r>
              <w:t>June 16, 2026</w:t>
              <w:br/>
            </w:r>
            <w:r>
              <w:rPr>
                <w:b/>
              </w:rPr>
              <w:t xml:space="preserve">Place: </w:t>
            </w:r>
            <w:r>
              <w:t>Hyderabad</w:t>
            </w:r>
          </w:p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  <w:tr>
        <w:tc>
          <w:tcPr>
            <w:tcW w:type="dxa" w:w="4514"/>
          </w:tcPr>
          <w:p/>
        </w:tc>
        <w:tc>
          <w:tcPr>
            <w:tcW w:type="dxa" w:w="4514"/>
          </w:tcPr>
          <w:p/>
        </w:tc>
      </w:tr>
    </w:tbl>
    <w:p/>
    <w:p>
      <w:pPr>
        <w:jc w:val="both"/>
      </w:pPr>
      <w:r>
        <w:t>&lt;div class="sig-col"&gt;</w:t>
      </w:r>
    </w:p>
    <w:p>
      <w:pPr>
        <w:jc w:val="both"/>
      </w:pPr>
      <w:r>
        <w:t>&lt;div class="sig-line"&gt;&lt;/div&gt;</w:t>
      </w:r>
    </w:p>
    <w:p>
      <w:pPr>
        <w:jc w:val="both"/>
      </w:pPr>
      <w:r>
        <w:t>&lt;div class="sig-title"&gt;Signature of the Student&lt;/div&gt;</w:t>
      </w:r>
    </w:p>
    <w:p>
      <w:pPr>
        <w:jc w:val="both"/>
      </w:pPr>
      <w:r>
        <w:t>&lt;div class="sig-field"&gt;</w:t>
      </w:r>
      <w:r>
        <w:rPr>
          <w:b/>
        </w:rPr>
        <w:t>Name:</w:t>
      </w:r>
      <w:r>
        <w:t xml:space="preserve"> Akik Jana&lt;/div&gt;</w:t>
      </w:r>
    </w:p>
    <w:p>
      <w:pPr>
        <w:jc w:val="both"/>
      </w:pPr>
      <w:r>
        <w:t>&lt;div class="sig-field"&gt;</w:t>
      </w:r>
      <w:r>
        <w:rPr>
          <w:b/>
        </w:rPr>
        <w:t>ID No.:</w:t>
      </w:r>
      <w:r>
        <w:t xml:space="preserve"> 2024AB05287&lt;/div&gt;</w:t>
      </w:r>
    </w:p>
    <w:p>
      <w:pPr>
        <w:jc w:val="both"/>
      </w:pPr>
      <w:r>
        <w:t>&lt;/div&gt;</w:t>
      </w:r>
    </w:p>
    <w:p>
      <w:pPr>
        <w:jc w:val="both"/>
      </w:pPr>
      <w:r>
        <w:t>&lt;/div&gt;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