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</w:t>
      </w:r>
    </w:p>
    <w:p>
      <w:pPr>
        <w:jc w:val="both"/>
      </w:pPr>
      <w:r>
        <w:t xml:space="preserve">This dissertation addresses the high computational cost, GPU latency, and memory footprint of generating large-scale, all-atom biomolecular binders. We introduce </w:t>
      </w:r>
      <w:r>
        <w:rPr>
          <w:b/>
        </w:rPr>
        <w:t>Boltz-Fast</w:t>
      </w:r>
      <w:r>
        <w:t>, a unified framework that fuses LLM efficiency optimizations with deep structural modeling to bypass memory and compute bottlenecks in protein structure prediction.</w:t>
      </w:r>
    </w:p>
    <w:p>
      <w:pPr>
        <w:jc w:val="both"/>
      </w:pPr>
      <w:r>
        <w:t xml:space="preserve">All </w:t>
      </w:r>
      <w:r>
        <w:rPr>
          <w:b/>
        </w:rPr>
        <w:t>six development milestones (M1–M6)</w:t>
      </w:r>
      <w:r>
        <w:t xml:space="preserve"> have been implemented, integrated, and verified:</w:t>
      </w:r>
    </w:p>
    <w:p>
      <w:pPr>
        <w:jc w:val="both"/>
      </w:pPr>
      <w:r>
        <w:t xml:space="preserve">1. </w:t>
      </w:r>
      <w:r>
        <w:rPr>
          <w:b/>
        </w:rPr>
        <w:t>M1 — E2E Test Suite</w:t>
      </w:r>
      <w:r>
        <w:t xml:space="preserve">: Initialized a 4-tier validation suite covering functional, boundary, integration, and biological constraints; since expanded to </w:t>
      </w:r>
      <w:r>
        <w:rPr>
          <w:b/>
        </w:rPr>
        <w:t>99 tests</w:t>
      </w:r>
      <w:r>
        <w:t xml:space="preserve"> running under </w:t>
      </w:r>
      <w:r>
        <w:rPr>
          <w:rFonts w:ascii="Courier New" w:hAnsi="Courier New"/>
          <w:sz w:val="19"/>
          <w:shd w:fill="f7fafc"/>
        </w:rPr>
        <w:t>pytest</w:t>
      </w:r>
      <w:r>
        <w:t xml:space="preserve"> in continuous integration.</w:t>
      </w:r>
    </w:p>
    <w:p>
      <w:pPr>
        <w:jc w:val="both"/>
      </w:pPr>
      <w:r>
        <w:t xml:space="preserve">2. </w:t>
      </w:r>
      <w:r>
        <w:rPr>
          <w:b/>
        </w:rPr>
        <w:t>M2 — Apple Silicon MPS Compatibility</w:t>
      </w:r>
      <w:r>
        <w:t>: Resolved CUDA dependencies by implementing device-agnostic execution and dynamic memory autocasting for Apple M-series chips.</w:t>
      </w:r>
    </w:p>
    <w:p>
      <w:pPr>
        <w:jc w:val="both"/>
      </w:pPr>
      <w:r>
        <w:t xml:space="preserve">3. </w:t>
      </w:r>
      <w:r>
        <w:rPr>
          <w:b/>
        </w:rPr>
        <w:t>M3 — Low-Rank Pair Representation</w:t>
      </w:r>
      <w:r>
        <w:t xml:space="preserve">: Replaced memory-heavy outer product mean updates with a custom autograd low-rank tensor product, reducing stored activations by up to </w:t>
      </w:r>
      <w:r>
        <w:rPr>
          <w:b/>
        </w:rPr>
        <w:t>1502x</w:t>
      </w:r>
      <w:r>
        <w:t xml:space="preserve"> in a synthetic microbenchmark. The accompanying reconstruction error is large (Table 3), and the subsequent measurement phase established that this saving is </w:t>
      </w:r>
      <w:r>
        <w:rPr>
          <w:b/>
        </w:rPr>
        <w:t>not reachable on pretrained Boltz weights</w:t>
      </w:r>
      <w:r>
        <w:t xml:space="preserve"> (Section 6.1).</w:t>
      </w:r>
    </w:p>
    <w:p>
      <w:pPr>
        <w:jc w:val="both"/>
      </w:pPr>
      <w:r>
        <w:t xml:space="preserve">4. </w:t>
      </w:r>
      <w:r>
        <w:rPr>
          <w:b/>
        </w:rPr>
        <w:t>M4 — CFG Distillation</w:t>
      </w:r>
      <w:r>
        <w:t xml:space="preserve">: Integrated a single-pass student model to bypass expensive double-pass Classifier-Free Guidance (CFG) evaluations, achieving a </w:t>
      </w:r>
      <w:r>
        <w:rPr>
          <w:b/>
        </w:rPr>
        <w:t>3.85x speedup</w:t>
      </w:r>
      <w:r>
        <w:t xml:space="preserve"> on the grid sweep of Table 2.</w:t>
      </w:r>
    </w:p>
    <w:p>
      <w:pPr>
        <w:jc w:val="both"/>
      </w:pPr>
      <w:r>
        <w:t xml:space="preserve">5. </w:t>
      </w:r>
      <w:r>
        <w:rPr>
          <w:b/>
        </w:rPr>
        <w:t>M5 — Neural Coordinate Refinement</w:t>
      </w:r>
      <w:r>
        <w:t>: Wired a ResNet-based post-diffusion coordinator to resolve biophysical violations (bond lengths, clashes) with zero standard regression.</w:t>
      </w:r>
    </w:p>
    <w:p>
      <w:pPr>
        <w:jc w:val="both"/>
      </w:pPr>
      <w:r>
        <w:t xml:space="preserve">6. </w:t>
      </w:r>
      <w:r>
        <w:rPr>
          <w:b/>
        </w:rPr>
        <w:t>M6 — E2E Verification</w:t>
      </w:r>
      <w:r>
        <w:t>: Executed the full suite on local hardware with a 100% pass rate.</w:t>
      </w:r>
    </w:p>
    <w:p>
      <w:pPr>
        <w:jc w:val="both"/>
      </w:pPr>
      <w:r>
        <w:t>A second phase moved the project from component microbenchmarks to end-to-end</w:t>
      </w:r>
    </w:p>
    <w:p>
      <w:pPr>
        <w:jc w:val="both"/>
      </w:pPr>
      <w:r>
        <w:t>measurement against pretrained checkpoints and experimentally determined</w:t>
      </w:r>
    </w:p>
    <w:p>
      <w:pPr>
        <w:jc w:val="both"/>
      </w:pPr>
      <w:r>
        <w:t xml:space="preserve">structures. </w:t>
      </w:r>
      <w:r>
        <w:rPr>
          <w:b/>
        </w:rPr>
        <w:t>This phase produced two substantive negative results</w:t>
      </w:r>
      <w:r>
        <w:t>, reported in</w:t>
      </w:r>
    </w:p>
    <w:p>
      <w:pPr>
        <w:jc w:val="both"/>
      </w:pPr>
      <w:r>
        <w:t>full in Section 6: the low-rank pair representation cannot be recovered from</w:t>
      </w:r>
    </w:p>
    <w:p>
      <w:pPr>
        <w:jc w:val="both"/>
      </w:pPr>
      <w:r>
        <w:t>pretrained weights at any rank that saves memory, and interface confidence</w:t>
      </w:r>
    </w:p>
    <w:p>
      <w:pPr>
        <w:jc w:val="both"/>
      </w:pPr>
      <w:r>
        <w:t xml:space="preserve">(ipTM) responds largely to peptide </w:t>
      </w:r>
      <w:r>
        <w:rPr>
          <w:b/>
        </w:rPr>
        <w:t>composition</w:t>
      </w:r>
      <w:r>
        <w:t>, ranking a scrambled sequence</w:t>
      </w:r>
    </w:p>
    <w:p>
      <w:pPr>
        <w:jc w:val="both"/>
      </w:pPr>
      <w:r>
        <w:t>as highly as the real binder it was made from, with any sequence-order effect</w:t>
      </w:r>
    </w:p>
    <w:p>
      <w:pPr>
        <w:jc w:val="both"/>
      </w:pPr>
      <w:r>
        <w:t>bounded below the composition effect. The second</w:t>
      </w:r>
    </w:p>
    <w:p>
      <w:pPr>
        <w:jc w:val="both"/>
      </w:pPr>
      <w:r>
        <w:t>finding was established by a power-sized 22-receptor run (132 complexes) whose</w:t>
      </w:r>
    </w:p>
    <w:p>
      <w:pPr>
        <w:jc w:val="both"/>
      </w:pPr>
      <w:r>
        <w:t>headline comparison is statistically significant, whose own scramble control</w:t>
      </w:r>
    </w:p>
    <w:p>
      <w:pPr>
        <w:jc w:val="both"/>
      </w:pPr>
      <w:r>
        <w:t>shows that significance does not mean binding recognition, and whose</w:t>
      </w:r>
    </w:p>
    <w:p>
      <w:pPr>
        <w:jc w:val="both"/>
      </w:pPr>
      <w:r>
        <w:t>reproducibility was then measured directly: a 96-fold replicate study</w:t>
      </w:r>
    </w:p>
    <w:p>
      <w:pPr>
        <w:jc w:val="both"/>
      </w:pPr>
      <w:r>
        <w:t>(Section 6.5) shows that single unseeded folds do not reproduce their own</w:t>
      </w:r>
    </w:p>
    <w:p>
      <w:pPr>
        <w:jc w:val="both"/>
      </w:pPr>
      <w:r>
        <w:t>per-receptor rankings, so the aggregate direction is trustworthy while any</w:t>
      </w:r>
    </w:p>
    <w:p>
      <w:pPr>
        <w:jc w:val="both"/>
      </w:pPr>
      <w:r>
        <w:t>individual verdict is not. Both results are</w:t>
      </w:r>
    </w:p>
    <w:p>
      <w:pPr>
        <w:jc w:val="both"/>
      </w:pPr>
      <w:r>
        <w:t>reported because they redirect the remaining work, and both rest on controls,</w:t>
      </w:r>
    </w:p>
    <w:p>
      <w:pPr>
        <w:jc w:val="both"/>
      </w:pPr>
      <w:r>
        <w:t>held-out splits, and power analysis rather than on single favourable runs.</w:t>
      </w:r>
    </w:p>
    <w:p>
      <w:pPr>
        <w:jc w:val="both"/>
      </w:pPr>
      <w:r>
        <w:t>The engineering results stand: the pipeline is device-agnostic, memory-stable on</w:t>
      </w:r>
    </w:p>
    <w:p>
      <w:pPr>
        <w:jc w:val="both"/>
      </w:pPr>
      <w:r>
        <w:t>Apple Silicon, and now measured end to end against real structures rather than</w:t>
      </w:r>
    </w:p>
    <w:p>
      <w:pPr>
        <w:jc w:val="both"/>
      </w:pPr>
      <w:r>
        <w:t>mock tensors.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Akik Jana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Bangalore</w:t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Dr. Arnab Bandyopadhyay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Hyderabad</w:t>
            </w:r>
          </w:p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</w:tbl>
    <w:p/>
    <w:p>
      <w:pPr>
        <w:jc w:val="both"/>
      </w:pPr>
      <w:r>
        <w:t>&lt;div class="sig-col"&gt;</w:t>
      </w:r>
    </w:p>
    <w:p>
      <w:pPr>
        <w:jc w:val="both"/>
      </w:pPr>
      <w:r>
        <w:t>&lt;div class="sig-line"&gt;&lt;/div&gt;</w:t>
      </w:r>
    </w:p>
    <w:p>
      <w:pPr>
        <w:jc w:val="both"/>
      </w:pPr>
      <w:r>
        <w:t>&lt;div class="sig-title"&gt;Signature of the Supervisor&lt;/div&gt;</w:t>
      </w:r>
    </w:p>
    <w:p>
      <w:pPr>
        <w:jc w:val="both"/>
      </w:pPr>
      <w:r>
        <w:t>&lt;div class="sig-field"&gt;</w:t>
      </w:r>
      <w:r>
        <w:rPr>
          <w:b/>
        </w:rPr>
        <w:t>Name:</w:t>
      </w:r>
      <w:r>
        <w:t xml:space="preserve"> Dr. Arnab Bandyopadhyay&lt;/div&gt;</w:t>
      </w:r>
    </w:p>
    <w:p>
      <w:pPr>
        <w:jc w:val="both"/>
      </w:pPr>
      <w:r>
        <w:t>&lt;div class="sig-field"&gt;</w:t>
      </w:r>
      <w:r>
        <w:rPr>
          <w:b/>
        </w:rPr>
        <w:t>Date:</w:t>
      </w:r>
      <w:r>
        <w:t xml:space="preserve"> August 2, 2026&lt;/div&gt;</w:t>
      </w:r>
    </w:p>
    <w:p>
      <w:pPr>
        <w:jc w:val="both"/>
      </w:pPr>
      <w:r>
        <w:t>&lt;div class="sig-field"&gt;</w:t>
      </w:r>
      <w:r>
        <w:rPr>
          <w:b/>
        </w:rPr>
        <w:t>Place:</w:t>
      </w:r>
      <w:r>
        <w:t xml:space="preserve"> Hyderabad&lt;/div&gt;</w:t>
      </w:r>
    </w:p>
    <w:p>
      <w:pPr>
        <w:jc w:val="both"/>
      </w:pPr>
      <w:r>
        <w:t>&lt;/div&gt;</w:t>
      </w:r>
    </w:p>
    <w:p>
      <w:pPr>
        <w:jc w:val="both"/>
      </w:pPr>
      <w:r>
        <w:t>&lt;/div&gt;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Contents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1. MODULES IN BOLTZ-FAST .....................................................................................................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a) Multi-Head Latent Attention (MLA) Cache 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b) Fold-CP Sequence Parallelism 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c) 2D Ring Triangular Multiplication Unit (TMU) ........................................................................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d) Low-Rank Pair Representation (OPM Replacement) [M3] 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e) Classifier-Free Guidance (CFG) Distillation [M4] 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f) Neural Coordinate Refinement [M5] 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g) Speculative Flow Matching Sampler .......................................................................................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h) Reference-Free SimPO Loss Tuning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i) g-DPO Linear Preference Alignment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2. FUNCTIONAL BLOCK DIAGRAM &amp; METHODOLOGY ........................................................... 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3. MAJOR TECHNICAL SPECIFICATIONS &amp; BENCHMARKS ................................................... 10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4. DESIGN CONSIDERATIONS ..................................................................................................... 12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 VERIFICATION &amp; TESTING (M1 &amp; M6) ................................................................................... 13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 MEASURED RESULTS AGAINST PRETRAINED WEIGHTS 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Low-Rank Pair Representation on Pretrained Weights ......................................................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6.2 Interface Confidence as a Binder-Ranking Reference .......................................................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6.3 Boltz-2 Comparison and a Benchmark Correction ............................................................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6.4 Powered Run: ipTM Tracks Composition, Not Binding .....................................................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6.5 Measurement Reproducibility: Single Folds Do Not Reproduce ....................................... 19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 FUTURE PLAN ............................................................................................................................. 20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8. ABBREVIATIONS ......................................................................................................................... 21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Figures</w:t>
      </w:r>
    </w:p>
    <w:p>
      <w:pPr>
        <w:jc w:val="both"/>
      </w:pPr>
      <w:r>
        <w:t>Figure 1: Core Modules in Boltz-Fast .................................................................................................... 5</w:t>
      </w:r>
    </w:p>
    <w:p>
      <w:pPr>
        <w:jc w:val="both"/>
      </w:pPr>
      <w:r>
        <w:t>Figure 2: C-alpha Backbone 3D Coordinate Plot ................................................................................... 11</w:t>
      </w:r>
    </w:p>
    <w:p>
      <w:pPr>
        <w:jc w:val="both"/>
      </w:pPr>
      <w:r>
        <w:t>Figure 3: Ray-Traced Protein Ribbon Model Rendering ........................................................................ 11</w:t>
      </w:r>
    </w:p>
    <w:p>
      <w:pPr>
        <w:jc w:val="both"/>
      </w:pPr>
      <w:r>
        <w:t>Figure 4: ANE-Accelerated 3D Insulin Backbone Visualization ................................................................ 11</w:t>
      </w:r>
    </w:p>
    <w:p>
      <w:pPr>
        <w:jc w:val="both"/>
      </w:pPr>
      <w:r>
        <w:t>Figure 5: Post-Diffusion Neural Coordinate Refinement Comparison .................................................... 13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Tables</w:t>
      </w:r>
    </w:p>
    <w:p>
      <w:pPr>
        <w:jc w:val="both"/>
      </w:pPr>
      <w:r>
        <w:t>Table 1: Computational Complexity &amp; Scaling Comparison .................................................................. 10</w:t>
      </w:r>
    </w:p>
    <w:p>
      <w:pPr>
        <w:jc w:val="both"/>
      </w:pPr>
      <w:r>
        <w:t>Table 2: Speculative Flow Matching Grid Sweep Data ........................................................................... 10</w:t>
      </w:r>
    </w:p>
    <w:p>
      <w:pPr>
        <w:jc w:val="both"/>
      </w:pPr>
      <w:r>
        <w:t>Table 3: Low-Rank Pair Representation Performance Scaling ............................................................. 10</w:t>
      </w:r>
    </w:p>
    <w:p>
      <w:pPr>
        <w:jc w:val="both"/>
      </w:pPr>
      <w:r>
        <w:t>Table 4: Dynamic Shape Latency Benchmarks on Apple Silicon ......................................................... 11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6.1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6.1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6.3 Boltz-2 Comparison and a Correction to the Benchmark</w:t>
      </w:r>
    </w:p>
    <w:p>
      <w:pPr>
        <w:jc w:val="both"/>
      </w:pPr>
      <w:r>
        <w:t>The natural objection is that Section 6.2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6.2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6.5 Measurement Reproducibility: Single Folds Do Not Reproduce</w:t>
      </w:r>
    </w:p>
    <w:p>
      <w:pPr>
        <w:jc w:val="both"/>
      </w:pPr>
      <w:r>
        <w:t xml:space="preserve">Every fold in Sections 6.2–6.4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6.4's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6.4)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6.5)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6.2)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ABBREVIATIONS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Research Collaboratory for Structural Bioinformatics</w:t>
            </w:r>
          </w:p>
        </w:tc>
      </w:tr>
    </w:tbl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