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three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7.12 Reading the Panel as a Competition ..................................... 38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5.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 xml:space="preserve">this section originally claimed: </w:t>
      </w:r>
      <w:r>
        <w:rPr>
          <w:b/>
        </w:rPr>
      </w:r>
      <w:r>
        <w:t>Section 7.10 shows that most of the advantage</w:t>
      </w:r>
    </w:p>
    <w:p>
      <w:pPr>
        <w:jc w:val="both"/>
      </w:pPr>
      <w:r>
        <w:t>disappears on complexes released after the model's training cutoff.</w:t>
      </w:r>
      <w:r>
        <w:rPr>
          <w:b/>
        </w:rPr>
      </w:r>
      <w:r>
        <w:t xml:space="preserve"> This</w:t>
      </w:r>
    </w:p>
    <w:p>
      <w:pPr>
        <w:jc w:val="both"/>
      </w:pPr>
      <w:r>
        <w:t>section should be read as characterising the readouts on the panel as</w:t>
      </w:r>
    </w:p>
    <w:p>
      <w:pPr>
        <w:jc w:val="both"/>
      </w:pPr>
      <w:r>
        <w:t>constituted — which is largely a panel of structures the model was trained on —</w:t>
      </w:r>
    </w:p>
    <w:p>
      <w:pPr>
        <w:jc w:val="both"/>
      </w:pPr>
      <w:r>
        <w:t>and Section 7.10 as establishing what transfers.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+4.99,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three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+4.99 (p = 0.0006)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+2.91 (p = 0.0016)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0.0069), 14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0.020), 11 of 22 first</w:t>
            </w:r>
          </w:p>
        </w:tc>
      </w:tr>
    </w:tbl>
    <w:p/>
    <w:p>
      <w:pPr>
        <w:jc w:val="both"/>
      </w:pPr>
      <w:r>
        <w:t>Every effect is smaller held out, by roughly half in both cases: interface pLDDT</w:t>
      </w:r>
    </w:p>
    <w:p>
      <w:pPr>
        <w:jc w:val="both"/>
      </w:pPr>
      <w:r>
        <w:t>retains 41% of its in-training effect and ipTM 52%. Neither readout survives</w:t>
      </w:r>
    </w:p>
    <w:p>
      <w:pPr>
        <w:jc w:val="both"/>
      </w:pPr>
      <w:r>
        <w:t>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0.052)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−0.096 (p = 0.737)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−7.04 (p = 0.0068)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−0.521 (p = 0.058)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−4.47 (p = 0.014)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−0.451 (p = 0.124)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interface pLDDT and receptor side weaken held out; the z-scored column</w:t>
      </w:r>
    </w:p>
    <w:p>
      <w:pPr>
        <w:jc w:val="both"/>
      </w:pPr>
      <w:r>
        <w:t>says that could be a scale effect, since the held-out panel has smaller</w:t>
      </w:r>
    </w:p>
    <w:p>
      <w:pPr>
        <w:jc w:val="both"/>
      </w:pPr>
      <w:r>
        <w:t>within-receptor spread (5.65 against 8.64) and raw differences shrink with it.</w:t>
      </w:r>
    </w:p>
    <w:p>
      <w:pPr>
        <w:jc w:val="both"/>
      </w:pPr>
      <w:r>
        <w:t>Two draws gave p = 0.0029 for interface pLDDT on the z scale and three give</w:t>
      </w:r>
    </w:p>
    <w:p>
      <w:pPr>
        <w:jc w:val="both"/>
      </w:pPr>
      <w:r>
        <w:t>p = 0.058, so the earlier version of this section overstated a result that the</w:t>
      </w:r>
    </w:p>
    <w:p>
      <w:pPr>
        <w:jc w:val="both"/>
      </w:pPr>
      <w:r>
        <w:t>third draw did not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Three were run, and the first two each produced a conclusion</w:t>
      </w:r>
    </w:p>
    <w:p>
      <w:pPr>
        <w:jc w:val="both"/>
      </w:pPr>
      <w:r>
        <w:t>the third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 (p = 0.0036)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 (p = 3e-5)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 (p = 2e-4)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 (p = 0.089)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 (p = 8e-5)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 (p = 7e-5)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+4.99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 (p = 0.201)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 (p = 0.0019)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 (p = 5e-4)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+2.91</w:t>
            </w:r>
          </w:p>
        </w:tc>
      </w:tr>
    </w:tbl>
    <w:p/>
    <w:p>
      <w:pPr>
        <w:jc w:val="both"/>
      </w:pPr>
      <w:r>
        <w:t>Draw 1 is the outlier on every row. Read alone it said the interface-pLDDT</w:t>
      </w:r>
    </w:p>
    <w:p>
      <w:pPr>
        <w:jc w:val="both"/>
      </w:pPr>
      <w:r>
        <w:t xml:space="preserve">effect </w:t>
      </w:r>
      <w:r>
        <w:rPr>
          <w:i/>
        </w:rPr>
        <w:t>collapses</w:t>
      </w:r>
      <w:r>
        <w:t xml:space="preserve"> held out and is no longer significant; three draws say it</w:t>
      </w:r>
    </w:p>
    <w:p>
      <w:pPr>
        <w:jc w:val="both"/>
      </w:pPr>
      <w:r>
        <w:t>weakens to 41% of its in-training value and remains significant at p = 0.0006.</w:t>
      </w:r>
    </w:p>
    <w:p>
      <w:pPr>
        <w:jc w:val="both"/>
      </w:pPr>
      <w:r>
        <w:rPr>
          <w:b/>
        </w:rPr>
        <w:t>Receptor specificity, cognate ranked among its own decoys: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 (p = 0.0020)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 (p = 0.0001)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 (p = 0.141)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 (p = 0.086)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0.0029)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that the</w:t>
      </w:r>
    </w:p>
    <w:p>
      <w:pPr>
        <w:jc w:val="both"/>
      </w:pPr>
      <w:r>
        <w:t>rank test was the stable one and that interface pLDDT reproducibly failed</w:t>
      </w:r>
    </w:p>
    <w:p>
      <w:pPr>
        <w:jc w:val="both"/>
      </w:pPr>
      <w:r>
        <w:t>receptor specificity while ipTM reproducibly passed. In draw 3 interface pLDDT</w:t>
      </w:r>
    </w:p>
    <w:p>
      <w:pPr>
        <w:jc w:val="both"/>
      </w:pPr>
      <w:r>
        <w:t>scores 1.73 and beats ipTM's 1.86. Averaged over three draws the two are 1.73</w:t>
      </w:r>
    </w:p>
    <w:p>
      <w:pPr>
        <w:jc w:val="both"/>
      </w:pPr>
      <w:r>
        <w:t>and 1.91, both significant, and their difference is well inside the spread of a</w:t>
      </w:r>
    </w:p>
    <w:p>
      <w:pPr>
        <w:jc w:val="both"/>
      </w:pPr>
      <w:r>
        <w:t>single draw.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</w:t>
      </w:r>
    </w:p>
    <w:p>
      <w:pPr>
        <w:jc w:val="both"/>
      </w:pPr>
      <w:r>
        <w:t>held out by roughly half; neither can be shown to weaken more than the other on</w:t>
      </w:r>
    </w:p>
    <w:p>
      <w:pPr>
        <w:jc w:val="both"/>
      </w:pPr>
      <w:r>
        <w:t>this panel.</w:t>
      </w:r>
      <w:r>
        <w:rPr>
          <w:b/>
        </w:rPr>
      </w:r>
      <w:r>
        <w:t xml:space="preserve"> The claim that ipTM specifically survives was an artefact of which</w:t>
      </w:r>
    </w:p>
    <w:p>
      <w:pPr>
        <w:jc w:val="both"/>
      </w:pPr>
      <w:r>
        <w:t>draws happened to have been run.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+4.99,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three draws each on the held-out side. The</w:t>
      </w:r>
    </w:p>
    <w:p>
      <w:pPr>
        <w:jc w:val="both"/>
      </w:pPr>
      <w:r>
        <w:t>held-out effects are small in absolute terms (+0.137 and +4.99),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7.12 Reading the Panel as a Competition</w:t>
      </w:r>
    </w:p>
    <w:p>
      <w:pPr>
        <w:jc w:val="both"/>
      </w:pPr>
      <w:r>
        <w:t>Every readout in Sections 7.2 to 7.11 is something the model reports about its</w:t>
      </w:r>
    </w:p>
    <w:p>
      <w:pPr>
        <w:jc w:val="both"/>
      </w:pPr>
      <w:r>
        <w:t>own output — ipTM, pLDDT, PAE and the metrics built from them all come from the</w:t>
      </w:r>
    </w:p>
    <w:p>
      <w:pPr>
        <w:jc w:val="both"/>
      </w:pPr>
      <w:r>
        <w:t>confidence head. That is why they all sit under the ceiling of Section 7.9.2,</w:t>
      </w:r>
    </w:p>
    <w:p>
      <w:pPr>
        <w:jc w:val="both"/>
      </w:pPr>
      <w:r>
        <w:t>and why combining readouts, combining models, and rescoring with a physics</w:t>
      </w:r>
    </w:p>
    <w:p>
      <w:pPr>
        <w:jc w:val="both"/>
      </w:pPr>
      <w:r>
        <w:t>energy function each buy nothing. Escaping it requires information the model did</w:t>
      </w:r>
    </w:p>
    <w:p>
      <w:pPr>
        <w:jc w:val="both"/>
      </w:pPr>
      <w:r>
        <w:t>not produce. Three sources were available and all three were tested.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7.12.1 The one that works: reciprocal best match</w:t>
      </w:r>
    </w:p>
    <w:p>
      <w:pPr>
        <w:jc w:val="both"/>
      </w:pPr>
      <w:r>
        <w:t>The panel has been read in one direction throughout — *for this receptor, is the</w:t>
      </w:r>
    </w:p>
    <w:p>
      <w:pPr>
        <w:jc w:val="both"/>
      </w:pPr>
      <w:r>
        <w:t>cognate the best of its candidate peptides?* It also contains the transpose,</w:t>
      </w:r>
    </w:p>
    <w:p>
      <w:pPr>
        <w:jc w:val="both"/>
      </w:pPr>
      <w:r>
        <w:t>because each peptide is folded against its own receptor and against the several</w:t>
      </w:r>
    </w:p>
    <w:p>
      <w:pPr>
        <w:jc w:val="both"/>
      </w:pPr>
      <w:r>
        <w:t>that borrowed it as a decoy. That direction asks *for this peptide, is its own</w:t>
      </w:r>
    </w:p>
    <w:p>
      <w:pPr>
        <w:jc w:val="both"/>
      </w:pPr>
      <w:r>
        <w:t>receptor the best of the targets it was tried against?*, and it works at least</w:t>
      </w:r>
    </w:p>
    <w:p>
      <w:pPr>
        <w:jc w:val="both"/>
      </w:pPr>
      <w:r>
        <w:t>as well: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direction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receptor-centric (Sections 7.4–7.10)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peptide-centric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0.0014</w:t>
            </w:r>
          </w:p>
        </w:tc>
      </w:tr>
    </w:tbl>
    <w:p/>
    <w:p>
      <w:pPr>
        <w:jc w:val="both"/>
      </w:pPr>
      <w:r>
        <w:t xml:space="preserve">Requiring </w:t>
      </w:r>
      <w:r>
        <w:rPr>
          <w:b/>
        </w:rPr>
        <w:t>both</w:t>
      </w:r>
      <w:r>
        <w:t xml:space="preserve"> is the binding analogue of reciprocal best hits in homology</w:t>
      </w:r>
    </w:p>
    <w:p>
      <w:pPr>
        <w:jc w:val="both"/>
      </w:pPr>
      <w:r>
        <w:t>search. Measured across both panels, both readouts and all five draws — twelve</w:t>
      </w:r>
    </w:p>
    <w:p>
      <w:pPr>
        <w:jc w:val="both"/>
      </w:pPr>
      <w:r>
        <w:t>combinations in total: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one-directional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reciprocal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56% (range 42–72%)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88% (range 75–100%)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enrichment over base rate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2.3×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calls retained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49%</w:t>
            </w:r>
          </w:p>
        </w:tc>
      </w:tr>
    </w:tbl>
    <w:p/>
    <w:p>
      <w:pPr>
        <w:jc w:val="both"/>
      </w:pPr>
      <w:r>
        <w:t xml:space="preserve">Pooled over the twelve, the filter discards </w:t>
      </w:r>
      <w:r>
        <w:rPr>
          <w:b/>
        </w:rPr>
      </w:r>
      <w:r>
        <w:t>87% of wrong calls (84 of 97) and</w:t>
      </w:r>
    </w:p>
    <w:p>
      <w:pPr>
        <w:jc w:val="both"/>
      </w:pPr>
      <w:r>
        <w:t>23% of right ones (29 of 125)</w:t>
      </w:r>
      <w:r>
        <w:rPr>
          <w:b/>
        </w:rPr>
      </w:r>
      <w:r>
        <w:t>. That asymmetry is the result: a criterion that</w:t>
      </w:r>
    </w:p>
    <w:p>
      <w:pPr>
        <w:jc w:val="both"/>
      </w:pPr>
      <w:r>
        <w:t>merely shrank the candidate set would discard both classes in proportion.</w:t>
      </w:r>
    </w:p>
    <w:p>
      <w:pPr>
        <w:jc w:val="both"/>
      </w:pPr>
      <w:r>
        <w:t>Permutation tests against discarding the same number of calls at random clear</w:t>
      </w:r>
    </w:p>
    <w:p>
      <w:pPr>
        <w:jc w:val="both"/>
      </w:pPr>
      <w:r>
        <w:t>0.05 in ten of twelve cells.</w:t>
      </w:r>
    </w:p>
    <w:p>
      <w:pPr>
        <w:jc w:val="both"/>
      </w:pPr>
      <w:r>
        <w:rPr>
          <w:b/>
        </w:rPr>
        <w:t>It replicates, which nothing else in this section does.</w:t>
      </w:r>
      <w:r>
        <w:t xml:space="preserve"> Precision improves</w:t>
      </w:r>
    </w:p>
    <w:p>
      <w:pPr>
        <w:jc w:val="both"/>
      </w:pPr>
      <w:r>
        <w:t>in 12 of 12 combinations. Draws within a panel share receptors and are not</w:t>
      </w:r>
    </w:p>
    <w:p>
      <w:pPr>
        <w:jc w:val="both"/>
      </w:pPr>
      <w:r>
        <w:t>independent, so the defensible unit is panel × readout — 4 of 4 — rather than</w:t>
      </w:r>
    </w:p>
    <w:p>
      <w:pPr>
        <w:jc w:val="both"/>
      </w:pPr>
      <w:r>
        <w:t>the 12-way sign test.</w:t>
      </w:r>
    </w:p>
    <w:p>
      <w:pPr>
        <w:jc w:val="both"/>
      </w:pPr>
      <w:r>
        <w:t>This is not a better score. It is the same scores read as a two-way competition,</w:t>
      </w:r>
    </w:p>
    <w:p>
      <w:pPr>
        <w:jc w:val="both"/>
      </w:pPr>
      <w:r>
        <w:t>so it gets its power from the structure of the screen rather than from the</w:t>
      </w:r>
    </w:p>
    <w:p>
      <w:pPr>
        <w:jc w:val="both"/>
      </w:pPr>
      <w:r>
        <w:t>model, which is precisely why the Section 7.9.2 ceiling does not apply to it.</w:t>
      </w:r>
    </w:p>
    <w:p>
      <w:pPr>
        <w:jc w:val="both"/>
      </w:pPr>
      <w:r>
        <w:rPr>
          <w:b/>
        </w:rPr>
        <w:t>Deployed form.</w:t>
      </w:r>
      <w:r>
        <w:t xml:space="preserve"> Score each candidate against the target </w:t>
      </w:r>
      <w:r>
        <w:rPr>
          <w:i/>
        </w:rPr>
        <w:t>and</w:t>
      </w:r>
      <w:r>
        <w:t xml:space="preserve"> against a small</w:t>
      </w:r>
    </w:p>
    <w:p>
      <w:pPr>
        <w:jc w:val="both"/>
      </w:pPr>
      <w:r>
        <w:t>panel of off-targets, and keep only candidates whose best target is yours. The</w:t>
      </w:r>
    </w:p>
    <w:p>
      <w:pPr>
        <w:jc w:val="both"/>
      </w:pPr>
      <w:r>
        <w:t>cost is five to ten times the folds, which is real but bounded, and buys</w:t>
      </w:r>
    </w:p>
    <w:p>
      <w:pPr>
        <w:jc w:val="both"/>
      </w:pPr>
      <w:r>
        <w:t>precision from 56% to 88%.</w:t>
      </w:r>
    </w:p>
    <w:p>
      <w:pPr>
        <w:jc w:val="both"/>
      </w:pPr>
      <w:r>
        <w:rPr>
          <w:b/>
        </w:rPr>
        <w:t>Limitations.</w:t>
      </w:r>
      <w:r>
        <w:t xml:space="preserve"> Call counts are small — seven to thirteen per combination, so a</w:t>
      </w:r>
    </w:p>
    <w:p>
      <w:pPr>
        <w:jc w:val="both"/>
      </w:pPr>
      <w:r>
        <w:t>reported 100% is eight of eight. The competition is also incidental rather than</w:t>
      </w:r>
    </w:p>
    <w:p>
      <w:pPr>
        <w:jc w:val="both"/>
      </w:pPr>
      <w:r>
        <w:t>designed: each peptide meets only the three to six receptors that happened to</w:t>
      </w:r>
    </w:p>
    <w:p>
      <w:pPr>
        <w:jc w:val="both"/>
      </w:pPr>
      <w:r>
        <w:t>borrow it, and a deployed off-target panel would be chosen deliberately. And the</w:t>
      </w:r>
    </w:p>
    <w:p>
      <w:pPr>
        <w:jc w:val="both"/>
      </w:pPr>
      <w:r>
        <w:t>filter improves both regimes without undoing contamination — held-out precision</w:t>
      </w:r>
    </w:p>
    <w:p>
      <w:pPr>
        <w:jc w:val="both"/>
      </w:pPr>
      <w:r>
        <w:t>before filtering is 50% against 60% in training, consistent with Section 7.10.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7.12.2 Two that do not: external ground truth and sample agreement</w:t>
      </w:r>
    </w:p>
    <w:p>
      <w:pPr>
        <w:jc w:val="both"/>
      </w:pPr>
      <w:r>
        <w:rPr>
          <w:b/>
        </w:rPr>
        <w:t>Site correctness.</w:t>
      </w:r>
      <w:r>
        <w:t xml:space="preserve"> The crystal says which receptor residues contact the</w:t>
      </w:r>
    </w:p>
    <w:p>
      <w:pPr>
        <w:jc w:val="both"/>
      </w:pPr>
      <w:r>
        <w:t>peptide, so for any prediction one can ask what fraction of its contacts fall</w:t>
      </w:r>
    </w:p>
    <w:p>
      <w:pPr>
        <w:jc w:val="both"/>
      </w:pPr>
      <w:r>
        <w:t>inside that known site. This is information from outside the model entirely.</w:t>
      </w:r>
    </w:p>
    <w:p>
      <w:pPr>
        <w:jc w:val="both"/>
      </w:pPr>
      <w:r>
        <w:t>Measured on 120 folds across 20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recall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0.445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0.449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0.541</w:t>
            </w:r>
          </w:p>
        </w:tc>
      </w:tr>
    </w:tbl>
    <w:p/>
    <w:p>
      <w:pPr>
        <w:jc w:val="both"/>
      </w:pPr>
      <w:r>
        <w:t xml:space="preserve">Rank 2.50 against chance 2.50, p = 0.906. </w:t>
      </w:r>
      <w:r>
        <w:rPr>
          <w:b/>
        </w:rPr>
      </w:r>
      <w:r>
        <w:t>The measurement works and the</w:t>
      </w:r>
    </w:p>
    <w:p>
      <w:pPr>
        <w:jc w:val="both"/>
      </w:pPr>
      <w:r>
        <w:t>discrimination is absent</w:t>
      </w:r>
      <w:r>
        <w:rPr>
          <w:b/>
        </w:rPr>
      </w:r>
      <w:r>
        <w:t>: random contacts would give a precision of 0.148, so</w:t>
      </w:r>
    </w:p>
    <w:p>
      <w:pPr>
        <w:jc w:val="both"/>
      </w:pPr>
      <w:r>
        <w:t>the model locates the true groove three times better than chance — and does it</w:t>
      </w:r>
    </w:p>
    <w:p>
      <w:pPr>
        <w:jc w:val="both"/>
      </w:pPr>
      <w:r>
        <w:t>equally for every class. Site-finding is driven by the receptor, not the</w:t>
      </w:r>
    </w:p>
    <w:p>
      <w:pPr>
        <w:jc w:val="both"/>
      </w:pPr>
      <w:r>
        <w:t>peptide. A groove is concave, hydrophobic and accessible whether or not the</w:t>
      </w:r>
    </w:p>
    <w:p>
      <w:pPr>
        <w:jc w:val="both"/>
      </w:pPr>
      <w:r>
        <w:t>peptide belongs in it.</w:t>
      </w:r>
    </w:p>
    <w:p>
      <w:pPr>
        <w:jc w:val="both"/>
      </w:pPr>
      <w:r>
        <w:rPr>
          <w:b/>
        </w:rPr>
        <w:t>Pose convergence.</w:t>
      </w:r>
      <w:r>
        <w:t xml:space="preserve"> If a peptide genuinely binds it has one favourable pose to</w:t>
      </w:r>
    </w:p>
    <w:p>
      <w:pPr>
        <w:jc w:val="both"/>
      </w:pPr>
      <w:r>
        <w:t>find, so independent draws should agree; a non-binder should scatter. Folding</w:t>
      </w:r>
    </w:p>
    <w:p>
      <w:pPr>
        <w:jc w:val="both"/>
      </w:pPr>
      <w:r>
        <w:t>the panel twice with structures retained and superposing on the receptor: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peptide RMSD between draws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RMSD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8.35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2.68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9.67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3.12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9.99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3.34 Å</w:t>
            </w:r>
          </w:p>
        </w:tc>
      </w:tr>
    </w:tbl>
    <w:p/>
    <w:p>
      <w:pPr>
        <w:jc w:val="both"/>
      </w:pPr>
      <w:r>
        <w:t>The direction is right and the effect is not significant (+1.64 Å, p = 0.129;</w:t>
      </w:r>
    </w:p>
    <w:p>
      <w:pPr>
        <w:jc w:val="both"/>
      </w:pPr>
      <w:r>
        <w:t>rank 2.41, p = 0.713). Receptor RMSD also varies by class and correlates with</w:t>
      </w:r>
    </w:p>
    <w:p>
      <w:pPr>
        <w:jc w:val="both"/>
      </w:pPr>
      <w:r>
        <w:t>peptide RMSD at r = +0.36, so part of the apparent signal is the whole complex</w:t>
      </w:r>
    </w:p>
    <w:p>
      <w:pPr>
        <w:jc w:val="both"/>
      </w:pPr>
      <w:r>
        <w:t>being more reproducible rather than the peptide being better placed; regressing</w:t>
      </w:r>
    </w:p>
    <w:p>
      <w:pPr>
        <w:jc w:val="both"/>
      </w:pPr>
      <w:r>
        <w:t>it out halves the effect to +1.08 Å (p = 0.350).</w:t>
      </w:r>
    </w:p>
    <w:p>
      <w:pPr>
        <w:jc w:val="both"/>
      </w:pPr>
      <w:r>
        <w:rPr>
          <w:b/>
        </w:rPr>
        <w:t>Together these two say something specific.</w:t>
      </w:r>
      <w:r>
        <w:t xml:space="preserve"> Every peptide lands in the same</w:t>
      </w:r>
    </w:p>
    <w:p>
      <w:pPr>
        <w:jc w:val="both"/>
      </w:pPr>
      <w:r>
        <w:t>correct pocket, and every peptide is then placed 8 to 10 Å differently within it</w:t>
      </w:r>
    </w:p>
    <w:p>
      <w:pPr>
        <w:jc w:val="both"/>
      </w:pPr>
      <w:r>
        <w:t>on each draw. For a peptide of ten to twenty residues that is a different pose</w:t>
      </w:r>
    </w:p>
    <w:p>
      <w:pPr>
        <w:jc w:val="both"/>
      </w:pPr>
      <w:r>
        <w:t>each time. The pocket is determined by the receptor; the pose is not determined</w:t>
      </w:r>
    </w:p>
    <w:p>
      <w:pPr>
        <w:jc w:val="both"/>
      </w:pPr>
      <w:r>
        <w:t>at all.</w:t>
      </w:r>
    </w:p>
    <w:p>
      <w:pPr>
        <w:jc w:val="both"/>
      </w:pPr>
      <w:r>
        <w:t>That closes the account of why so much of this section failed. Inter-chain</w:t>
      </w:r>
    </w:p>
    <w:p>
      <w:pPr>
        <w:jc w:val="both"/>
      </w:pPr>
      <w:r>
        <w:t>contacts, contact density, buried surface area, pDockQ, PRODIGY's binding energy</w:t>
      </w:r>
    </w:p>
    <w:p>
      <w:pPr>
        <w:jc w:val="both"/>
      </w:pPr>
      <w:r>
        <w:t>and pose agreement are all reading a placement that is correct in location and</w:t>
      </w:r>
    </w:p>
    <w:p>
      <w:pPr>
        <w:jc w:val="both"/>
      </w:pPr>
      <w:r>
        <w:t xml:space="preserve">arbitrary in detail. </w:t>
      </w:r>
      <w:r>
        <w:rPr>
          <w:b/>
        </w:rPr>
      </w:r>
      <w:r>
        <w:t>The only axis carrying binding information is</w:t>
      </w:r>
    </w:p>
    <w:p>
      <w:pPr>
        <w:jc w:val="both"/>
      </w:pPr>
      <w:r>
        <w:t>confidence</w:t>
      </w:r>
      <w:r>
        <w:rPr>
          <w:b/>
        </w:rPr>
      </w:r>
      <w:r>
        <w:t>, which is exactly why every readout reduces to the same ceiling.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+4.99, ipTM from +0.265 to +0.137 — over three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rPr>
          <w:b/>
        </w:rPr>
      </w:r>
      <w:r>
        <w:t>Eighth, and the one actionable positive of the search: requiring the match to</w:t>
      </w:r>
    </w:p>
    <w:p>
      <w:pPr>
        <w:jc w:val="both"/>
      </w:pPr>
      <w:r>
        <w:t>hold in both directions raises precision from 56% to 88%</w:t>
      </w:r>
      <w:r>
        <w:rPr>
          <w:b/>
        </w:rPr>
      </w:r>
      <w:r>
        <w:t xml:space="preserve"> (Section 7.12).</w:t>
      </w:r>
    </w:p>
    <w:p>
      <w:pPr>
        <w:jc w:val="both"/>
      </w:pPr>
      <w:r>
        <w:t>Reading the panel as a competition in the peptide direction as well as the</w:t>
      </w:r>
    </w:p>
    <w:p>
      <w:pPr>
        <w:jc w:val="both"/>
      </w:pPr>
      <w:r>
        <w:t>receptor direction, and keeping only reciprocal best matches, discards 87% of</w:t>
      </w:r>
    </w:p>
    <w:p>
      <w:pPr>
        <w:jc w:val="both"/>
      </w:pPr>
      <w:r>
        <w:t>wrong calls and 23% of right ones. It replicates in 12 of 12 panel-readout-draw</w:t>
      </w:r>
    </w:p>
    <w:p>
      <w:pPr>
        <w:jc w:val="both"/>
      </w:pPr>
      <w:r>
        <w:t>combinations, which nothing else in this work does, and it costs nothing at</w:t>
      </w:r>
    </w:p>
    <w:p>
      <w:pPr>
        <w:jc w:val="both"/>
      </w:pPr>
      <w:r>
        <w:t>inference because it re-reads scores already computed. Two other attempts to</w:t>
      </w:r>
    </w:p>
    <w:p>
      <w:pPr>
        <w:jc w:val="both"/>
      </w:pPr>
      <w:r>
        <w:t>escape the ceiling failed: scoring predictions against the crystal's known</w:t>
      </w:r>
    </w:p>
    <w:p>
      <w:pPr>
        <w:jc w:val="both"/>
      </w:pPr>
      <w:r>
        <w:t>binding site does not discriminate at all (p = 0.906 — every peptide finds the</w:t>
      </w:r>
    </w:p>
    <w:p>
      <w:pPr>
        <w:jc w:val="both"/>
      </w:pPr>
      <w:r>
        <w:t>right groove), and pose agreement between draws is not significant once receptor</w:t>
      </w:r>
    </w:p>
    <w:p>
      <w:pPr>
        <w:jc w:val="both"/>
      </w:pPr>
      <w:r>
        <w:t>reproducibility is regressed out. Together those two show that the pocket is</w:t>
      </w:r>
    </w:p>
    <w:p>
      <w:pPr>
        <w:jc w:val="both"/>
      </w:pPr>
      <w:r>
        <w:t>determined by the receptor while the pose is not determined at all, which is why</w:t>
      </w:r>
    </w:p>
    <w:p>
      <w:pPr>
        <w:jc w:val="both"/>
      </w:pPr>
      <w:r>
        <w:t>every contact-derived readout in this work failed.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three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Use a model distilled for the step budget you can afford, not a stock model</w:t>
      </w:r>
    </w:p>
    <w:p>
      <w:pPr>
        <w:jc w:val="both"/>
      </w:pPr>
      <w:r>
        <w:t>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3. </w:t>
      </w:r>
      <w:r>
        <w:rPr>
          <w:b/>
        </w:rPr>
        <w:t>Require the match in both directions before calling a hit.</w:t>
      </w:r>
      <w:r>
        <w:t xml:space="preserve"> Score each</w:t>
      </w:r>
    </w:p>
    <w:p>
      <w:pPr>
        <w:jc w:val="both"/>
      </w:pPr>
      <w:r>
        <w:t xml:space="preserve">candidate against the target </w:t>
      </w:r>
      <w:r>
        <w:rPr>
          <w:i/>
        </w:rPr>
        <w:t>and</w:t>
      </w:r>
      <w:r>
        <w:t xml:space="preserve"> against a small panel of off-targets, and</w:t>
      </w:r>
    </w:p>
    <w:p>
      <w:pPr>
        <w:jc w:val="both"/>
      </w:pPr>
      <w:r>
        <w:t>keep only candidates whose best target is yours. Precision rises from 56% to</w:t>
      </w:r>
    </w:p>
    <w:p>
      <w:pPr>
        <w:jc w:val="both"/>
      </w:pPr>
      <w:r>
        <w:t>88% and enrichment from 2.3x to 3.5x, discarding 87% of wrong calls against</w:t>
      </w:r>
    </w:p>
    <w:p>
      <w:pPr>
        <w:jc w:val="both"/>
      </w:pPr>
      <w:r>
        <w:t>23% of right ones (Section 7.12). It costs five to ten times the folds and</w:t>
      </w:r>
    </w:p>
    <w:p>
      <w:pPr>
        <w:jc w:val="both"/>
      </w:pPr>
      <w:r>
        <w:t>nothing in modelling, and it is the only intervention in this work that</w:t>
      </w:r>
    </w:p>
    <w:p>
      <w:pPr>
        <w:jc w:val="both"/>
      </w:pPr>
      <w:r>
        <w:t>improved in every panel, readout and draw tested.</w:t>
      </w:r>
    </w:p>
    <w:p>
      <w:pPr>
        <w:jc w:val="both"/>
      </w:pPr>
      <w:r>
        <w:t xml:space="preserve">4.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5.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6.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7.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8.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9.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5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Few-Step Distillation Arms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Aug 2026 – 06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Run the panel on Boltz-1 and DeCAF to de-confound model from step count (Sections 7.8, 7.9)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Held-Out Panel &amp; Panel Integrity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08 Aug 2026 – 09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Build a 22-receptor post-cutoff panel, fold it three times, audit the original panel for non-binders (Sections 7.10, 7.10.1)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Backbone Convergence &amp; Search for a Better Readout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09 Aug 2026 – 10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Audit predicted geometry; test physics rescoring, cross-model ensembling, a sequence model, site correctness, pose convergence and reciprocal matching (Sections 7.11, 7.12)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plan prioritised measurement over throughput.</w:t>
      </w:r>
    </w:p>
    <w:p>
      <w:pPr>
        <w:jc w:val="both"/>
      </w:pPr>
      <w:r>
        <w:rPr>
          <w:b/>
        </w:rPr>
        <w:t>A second change, and the reason GPU scaling has moved to the end.</w:t>
      </w:r>
      <w:r>
        <w:t xml:space="preserve"> An earlier</w:t>
      </w:r>
    </w:p>
    <w:p>
      <w:pPr>
        <w:jc w:val="both"/>
      </w:pPr>
      <w:r>
        <w:t>version of this plan listed a replicate-averaged rerun as *pending on CUDA</w:t>
      </w:r>
    </w:p>
    <w:p>
      <w:pPr>
        <w:jc w:val="both"/>
      </w:pPr>
      <w:r>
        <w:t>deployment*, on the assumption that 9 to 16 folds per complex was not a</w:t>
      </w:r>
    </w:p>
    <w:p>
      <w:pPr>
        <w:jc w:val="both"/>
      </w:pPr>
      <w:r>
        <w:t>CPU-scale workload. Two developments removed the dependency. MPS acceleration</w:t>
      </w:r>
    </w:p>
    <w:p>
      <w:pPr>
        <w:jc w:val="both"/>
      </w:pPr>
      <w:r>
        <w:t>gives roughly 3x over CPU (Section 5), and few-step distillation folds the whole</w:t>
      </w:r>
    </w:p>
    <w:p>
      <w:pPr>
        <w:jc w:val="both"/>
      </w:pPr>
      <w:r>
        <w:t>132-complex panel in about twenty minutes (Section 7.8). The held-out panel was</w:t>
      </w:r>
    </w:p>
    <w:p>
      <w:pPr>
        <w:jc w:val="both"/>
      </w:pPr>
      <w:r>
        <w:t xml:space="preserve">consequently folded </w:t>
      </w:r>
      <w:r>
        <w:rPr>
          <w:b/>
        </w:rPr>
        <w:t>five times</w:t>
      </w:r>
      <w:r>
        <w:t xml:space="preserve"> on this laptop rather than once on a cluster,</w:t>
      </w:r>
    </w:p>
    <w:p>
      <w:pPr>
        <w:jc w:val="both"/>
      </w:pPr>
      <w:r>
        <w:t>and it was the third of those draws that overturned the conclusion the first two</w:t>
      </w:r>
    </w:p>
    <w:p>
      <w:pPr>
        <w:jc w:val="both"/>
      </w:pPr>
      <w:r>
        <w:t>supported (Section 7.10.3). Replicate averaging is now measured rather than</w:t>
      </w:r>
    </w:p>
    <w:p>
      <w:pPr>
        <w:jc w:val="both"/>
      </w:pPr>
      <w:r>
        <w:t>deferred, and it is the intervention with the largest effect on held-out</w:t>
      </w:r>
    </w:p>
    <w:p>
      <w:pPr>
        <w:jc w:val="both"/>
      </w:pPr>
      <w:r>
        <w:t>discriminability (+0.119 AUC, Section 7.9.4).</w:t>
      </w:r>
    </w:p>
    <w:p>
      <w:pPr>
        <w:jc w:val="both"/>
      </w:pPr>
      <w:r>
        <w:t>Scaling remains valuable for throughput and for extending the panel past 22</w:t>
      </w:r>
    </w:p>
    <w:p>
      <w:pPr>
        <w:jc w:val="both"/>
      </w:pPr>
      <w:r>
        <w:t>receptors, which Section 7.10.6 identifies as the binding constraint on the</w:t>
      </w:r>
    </w:p>
    <w:p>
      <w:pPr>
        <w:jc w:val="both"/>
      </w:pPr>
      <w:r>
        <w:t>central open question. It no longer sits on the critical path to a defensible</w:t>
      </w:r>
    </w:p>
    <w:p>
      <w:pPr>
        <w:jc w:val="both"/>
      </w:pPr>
      <w:r>
        <w:t>result, and it is scheduled after the analysis rather than before it.</w:t>
      </w:r>
    </w:p>
    <w:p>
      <w:pPr>
        <w:jc w:val="both"/>
      </w:pPr>
      <w:r>
        <w:rPr>
          <w:b/>
        </w:rPr>
        <w:t>What the remaining time is for.</w:t>
      </w:r>
      <w:r>
        <w:t xml:space="preserve"> Section 7.10.6 shows the panel cannot settle</w:t>
      </w:r>
    </w:p>
    <w:p>
      <w:pPr>
        <w:jc w:val="both"/>
      </w:pPr>
      <w:r>
        <w:t>whether held-out degradation is metric-specific, and Section 7.12 shows the</w:t>
      </w:r>
    </w:p>
    <w:p>
      <w:pPr>
        <w:jc w:val="both"/>
      </w:pPr>
      <w:r>
        <w:t>reciprocal-match result rests on seven to thirteen calls per combination. Both</w:t>
      </w:r>
    </w:p>
    <w:p>
      <w:pPr>
        <w:jc w:val="both"/>
      </w:pPr>
      <w:r>
        <w:t>want more receptors rather than more analysis, and both are throughput problems</w:t>
      </w:r>
    </w:p>
    <w:p>
      <w:pPr>
        <w:jc w:val="both"/>
      </w:pPr>
      <w:r>
        <w:t>— which is what phase 11 addresses.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