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ratio, yielding a concrete</w:t>
      </w:r>
    </w:p>
    <w:p>
      <w:pPr>
        <w:jc w:val="both"/>
      </w:pPr>
      <w:r>
        <w:t>recommendation for how such candidates should be ranked.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Ranks Binders Where ipTM Does Not ....................... 21</w:t>
      </w:r>
    </w:p>
    <w:p>
      <w:pPr>
        <w:jc w:val="both"/>
      </w:pPr>
      <w:r>
        <w:t>8. CONCLUSIONS AND RECOMMENDATIONS .......................................... 23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23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24</w:t>
      </w:r>
    </w:p>
    <w:p>
      <w:pPr>
        <w:jc w:val="both"/>
      </w:pPr>
      <w:r>
        <w:t>9. FUTURE PLAN .............................................................. 26</w:t>
      </w:r>
    </w:p>
    <w:p>
      <w:pPr>
        <w:jc w:val="both"/>
      </w:pPr>
      <w:r>
        <w:t>10. REFERENCES .............................................................. 29</w:t>
      </w:r>
    </w:p>
    <w:p>
      <w:pPr>
        <w:jc w:val="both"/>
      </w:pPr>
      <w:r>
        <w:t>APPENDIX A — ABBREVIATIONS AND GLOSSARY ..................................... 31</w:t>
      </w:r>
    </w:p>
    <w:p>
      <w:pPr>
        <w:jc w:val="both"/>
      </w:pPr>
      <w:r>
        <w:t>APPENDIX B — REPRODUCTION OF RESULTS ........................................ 33</w:t>
      </w:r>
    </w:p>
    <w:p>
      <w:pPr>
        <w:jc w:val="both"/>
      </w:pPr>
      <w:r>
        <w:t>CHECKLIST OF ITEMS FOR THE FINAL REPORT ..................................... 35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5.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Ranks Binders Where ipTM Does Not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folding, and changes the practical conclusion of this dissertation.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 The</w:t>
      </w:r>
    </w:p>
    <w:p>
      <w:pPr>
        <w:jc w:val="both"/>
      </w:pPr>
      <w:r>
        <w:t>practical implication is unchanged: the information required to rank these</w:t>
      </w:r>
    </w:p>
    <w:p>
      <w:pPr>
        <w:jc w:val="both"/>
      </w:pPr>
      <w:r>
        <w:t>binders is present in the prediction, and ipTM discards it.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  <w:t>the information ipTM discards is recoverable</w:t>
      </w:r>
    </w:p>
    <w:p>
      <w:pPr>
        <w:jc w:val="both"/>
      </w:pPr>
      <w:r>
        <w:t>(Section 7.6). Re-scoring the same structures shows interface pLDDT</w:t>
      </w:r>
    </w:p>
    <w:p>
      <w:pPr>
        <w:jc w:val="both"/>
      </w:pPr>
      <w:r>
        <w:t>distinguishes a cognate from its own scramble (p &lt; 0.0001, reproducing in 100%</w:t>
      </w:r>
    </w:p>
    <w:p>
      <w:pPr>
        <w:jc w:val="both"/>
      </w:pPr>
      <w:r>
        <w:t>of simulated re-runs) at 8.6 times ipTM's effect-to-noise ratio. The failure is</w:t>
      </w:r>
    </w:p>
    <w:p>
      <w:pPr>
        <w:jc w:val="both"/>
      </w:pPr>
      <w:r>
        <w:t>specific to ipTM as a readout, not general to the prediction.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ipTM-based</w:t>
      </w:r>
    </w:p>
    <w:p>
      <w:pPr>
        <w:jc w:val="both"/>
      </w:pPr>
      <w:r>
        <w:t>accuracy claims do not survive measurement — but the structures do carry a</w:t>
      </w:r>
    </w:p>
    <w:p>
      <w:pPr>
        <w:jc w:val="both"/>
      </w:pPr>
      <w:r>
        <w:t>usable signal once read correctly. Reporting this is the substantive contribution: each negative</w:t>
      </w:r>
    </w:p>
    <w:p>
      <w:pPr>
        <w:jc w:val="both"/>
      </w:pPr>
      <w:r>
        <w:t>result is established with controls, held-out splits, power analysis and</w:t>
      </w:r>
    </w:p>
    <w:p>
      <w:pPr>
        <w:jc w:val="both"/>
      </w:pPr>
      <w:r>
        <w:t>replication, and each redirects effort away from a direction that would not have</w:t>
      </w:r>
    </w:p>
    <w:p>
      <w:pPr>
        <w:jc w:val="both"/>
      </w:pPr>
      <w:r>
        <w:t>worked.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not ipTM — and not on pDockQ for short</w:t>
      </w:r>
    </w:p>
    <w:p>
      <w:pPr>
        <w:jc w:val="both"/>
      </w:pPr>
      <w:r>
        <w:t>peptides.</w:t>
      </w:r>
      <w:r>
        <w:rPr>
          <w:b/>
        </w:rPr>
      </w:r>
      <w:r>
        <w:t xml:space="preserve"> This is the one recommendation here that improves a result rather</w:t>
      </w:r>
    </w:p>
    <w:p>
      <w:pPr>
        <w:jc w:val="both"/>
      </w:pPr>
      <w:r>
        <w:t>than qualifying it. pDockQ actively cancels the signal in this regime,</w:t>
      </w:r>
    </w:p>
    <w:p>
      <w:pPr>
        <w:jc w:val="both"/>
      </w:pPr>
      <w:r>
        <w:t>because its contact term favours scrambled peptides.</w:t>
      </w:r>
    </w:p>
    <w:p>
      <w:pPr>
        <w:jc w:val="both"/>
      </w:pPr>
      <w:r>
        <w:t xml:space="preserve">2. </w:t>
      </w:r>
      <w:r>
        <w:rPr>
          <w:b/>
        </w:rPr>
        <w:t>Report replicate-averaged confidence, never a single fold.</w:t>
      </w:r>
      <w:r>
        <w:t xml:space="preserve">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3.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4. </w:t>
      </w:r>
      <w:r>
        <w:rPr>
          <w:b/>
        </w:rPr>
        <w:t>Screen benchmark panels for post-translational modifications.</w:t>
      </w:r>
      <w:r>
        <w:t xml:space="preserve"> Seven of 25</w:t>
      </w:r>
    </w:p>
    <w:p>
      <w:pPr>
        <w:jc w:val="both"/>
      </w:pPr>
      <w:r>
        <w:t>candidate complexes were PTM-dependent; folding the canonical sequence makes</w:t>
      </w:r>
    </w:p>
    <w:p>
      <w:pPr>
        <w:jc w:val="both"/>
      </w:pPr>
      <w:r>
        <w:t>those "positives" non-binding, which silently penalises the metric under test.</w:t>
      </w:r>
    </w:p>
    <w:p>
      <w:pPr>
        <w:jc w:val="both"/>
      </w:pPr>
      <w:r>
        <w:t xml:space="preserve">5.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6.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1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