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ratio, yielding a concrete</w:t>
      </w:r>
    </w:p>
    <w:p>
      <w:pPr>
        <w:jc w:val="both"/>
      </w:pPr>
      <w:r>
        <w:t>recommendation for how such candidates should be ranked.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Ranks Binders Where ipTM Does Not 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5.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Ranks Binders Where ipTM Does Not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folding, and changes the practical conclusion of this dissertation.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 The</w:t>
      </w:r>
    </w:p>
    <w:p>
      <w:pPr>
        <w:jc w:val="both"/>
      </w:pPr>
      <w:r>
        <w:t>practical implication is unchanged: the information required to rank these</w:t>
      </w:r>
    </w:p>
    <w:p>
      <w:pPr>
        <w:jc w:val="both"/>
      </w:pPr>
      <w:r>
        <w:t>binders is present in the prediction, and ipTM discards it.</w:t>
      </w:r>
    </w:p>
    <w:p>
      <w:pPr>
        <w:jc w:val="both"/>
      </w:pPr>
      <w:r>
        <w:rPr>
          <w:b/>
        </w:rPr>
        <w:t>Correction — this result is model-dependent.</w:t>
      </w:r>
      <w:r>
        <w:t xml:space="preserve"> Section 7.8 re-runs the</w:t>
      </w:r>
    </w:p>
    <w:p>
      <w:pPr>
        <w:jc w:val="both"/>
      </w:pPr>
      <w:r>
        <w:t>identical pairs on stock Boltz-1 and on a few-step-distilled model. Interface</w:t>
      </w:r>
    </w:p>
    <w:p>
      <w:pPr>
        <w:jc w:val="both"/>
      </w:pPr>
      <w:r>
        <w:t>pLDDT separates a cognate from its own scramble strongly on Boltz-2 (+3.30) and</w:t>
      </w:r>
    </w:p>
    <w:p>
      <w:pPr>
        <w:jc w:val="both"/>
      </w:pPr>
      <w:r>
        <w:t xml:space="preserve">on DeCAF-Boltz (+9.54), but </w:t>
      </w:r>
      <w:r>
        <w:rPr>
          <w:b/>
        </w:rPr>
        <w:t>not on Boltz-1</w:t>
      </w:r>
      <w:r>
        <w:t xml:space="preserve"> (+1.54, p = 0.067, with a</w:t>
      </w:r>
    </w:p>
    <w:p>
      <w:pPr>
        <w:jc w:val="both"/>
      </w:pPr>
      <w:r>
        <w:t>confidence interval spanning zero, and receptor side p = 0.43). The</w:t>
      </w:r>
    </w:p>
    <w:p>
      <w:pPr>
        <w:jc w:val="both"/>
      </w:pPr>
      <w:r>
        <w:t>recommendation to rank on interface pLDDT holds for the models on which it was</w:t>
      </w:r>
    </w:p>
    <w:p>
      <w:pPr>
        <w:jc w:val="both"/>
      </w:pPr>
      <w:r>
        <w:t>measured; it does not generalise to every cofolding model, and this section</w:t>
      </w:r>
    </w:p>
    <w:p>
      <w:pPr>
        <w:jc w:val="both"/>
      </w:pPr>
      <w:r>
        <w:t>should not be read as though it does. Section 7.8 also shows that receptor</w:t>
      </w:r>
    </w:p>
    <w:p>
      <w:pPr>
        <w:jc w:val="both"/>
      </w:pPr>
      <w:r>
        <w:t xml:space="preserve">specificity, left open above, </w:t>
      </w:r>
      <w:r>
        <w:rPr>
          <w:b/>
        </w:rPr>
        <w:t>is</w:t>
      </w:r>
      <w:r>
        <w:t xml:space="preserve"> established on the few-step model.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 It is the strongest evidence</w:t>
      </w:r>
    </w:p>
    <w:p>
      <w:pPr>
        <w:jc w:val="both"/>
      </w:pPr>
      <w:r>
        <w:t>in this dissertation that the metric reads something about the interaction.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Strengthened.</w:t>
      </w:r>
      <w:r>
        <w:t xml:space="preserve"> The receptor responds to which peptide it is given, and peptide</w:t>
      </w:r>
    </w:p>
    <w:p>
      <w:pPr>
        <w:jc w:val="both"/>
      </w:pPr>
      <w:r>
        <w:t>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site.</w:t>
      </w:r>
    </w:p>
    <w:p>
      <w:pPr>
        <w:jc w:val="both"/>
      </w:pPr>
      <w:r>
        <w:t>Neither result changes the recommendation of Section 7.6 — rank on interface</w:t>
      </w:r>
    </w:p>
    <w:p>
      <w:pPr>
        <w:jc w:val="both"/>
      </w:pPr>
      <w:r>
        <w:t>pLDDT rather than ipTM — but the mechanism behind it is only partly</w:t>
      </w:r>
    </w:p>
    <w:p>
      <w:pPr>
        <w:jc w:val="both"/>
      </w:pPr>
      <w:r>
        <w:t>characterised, and one component of the pooled metric is now known to be largely</w:t>
      </w:r>
    </w:p>
    <w:p>
      <w:pPr>
        <w:jc w:val="both"/>
      </w:pPr>
      <w:r>
        <w:t>peptide foldability.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Section 7.6 is model-dependent.</w:t>
      </w:r>
      <w:r>
        <w:t xml:space="preserve"> Interface pLDDT is the best readout on Boltz-2</w:t>
      </w:r>
    </w:p>
    <w:p>
      <w:pPr>
        <w:jc w:val="both"/>
      </w:pPr>
      <w:r>
        <w:t>and on DeCAF, but on Boltz-1 it does not reach significance while ipTM does. The</w:t>
      </w:r>
    </w:p>
    <w:p>
      <w:pPr>
        <w:jc w:val="both"/>
      </w:pPr>
      <w:r>
        <w:t>correction is recorded in Section 7.6 itself.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Which readout carries the signal varies by model.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  <w:t>the information ipTM discards is recoverable</w:t>
      </w:r>
    </w:p>
    <w:p>
      <w:pPr>
        <w:jc w:val="both"/>
      </w:pPr>
      <w:r>
        <w:t>(Section 7.6). Re-scoring the same structures shows interface pLDDT</w:t>
      </w:r>
    </w:p>
    <w:p>
      <w:pPr>
        <w:jc w:val="both"/>
      </w:pPr>
      <w:r>
        <w:t>distinguishes a cognate from its own scramble (p &lt; 0.0001, reproducing in 100%</w:t>
      </w:r>
    </w:p>
    <w:p>
      <w:pPr>
        <w:jc w:val="both"/>
      </w:pPr>
      <w:r>
        <w:t>of simulated re-runs) at 8.6 times ipTM's effect-to-noise ratio. The failure is</w:t>
      </w:r>
    </w:p>
    <w:p>
      <w:pPr>
        <w:jc w:val="both"/>
      </w:pPr>
      <w:r>
        <w:t>specific to ipTM as a readout, not general to the prediction.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none, and the interface-pLDDT</w:t>
      </w:r>
    </w:p>
    <w:p>
      <w:pPr>
        <w:jc w:val="both"/>
      </w:pPr>
      <w:r>
        <w:t>recommendation of Section 7.6 is model-dependent.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ipTM-based</w:t>
      </w:r>
    </w:p>
    <w:p>
      <w:pPr>
        <w:jc w:val="both"/>
      </w:pPr>
      <w:r>
        <w:t>accuracy claims do not survive measurement on the models originally tested — but</w:t>
      </w:r>
    </w:p>
    <w:p>
      <w:pPr>
        <w:jc w:val="both"/>
      </w:pPr>
      <w:r>
        <w:t>the structures carry a usable signal once read correctly, and a model built for</w:t>
      </w:r>
    </w:p>
    <w:p>
      <w:pPr>
        <w:jc w:val="both"/>
      </w:pPr>
      <w:r>
        <w:t>the sampling budget recovers substantially more of it. Reporting this is the substantive contribution: each negative</w:t>
      </w:r>
    </w:p>
    <w:p>
      <w:pPr>
        <w:jc w:val="both"/>
      </w:pPr>
      <w:r>
        <w:t>result is established with controls, held-out splits, power analysis and</w:t>
      </w:r>
    </w:p>
    <w:p>
      <w:pPr>
        <w:jc w:val="both"/>
      </w:pPr>
      <w:r>
        <w:t>replication, and each redirects effort away from a direction that would not have</w:t>
      </w:r>
    </w:p>
    <w:p>
      <w:pPr>
        <w:jc w:val="both"/>
      </w:pPr>
      <w:r>
        <w:t>worked.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not ipTM — and not on pDockQ for short</w:t>
      </w:r>
    </w:p>
    <w:p>
      <w:pPr>
        <w:jc w:val="both"/>
      </w:pPr>
      <w:r>
        <w:t>peptides.</w:t>
      </w:r>
      <w:r>
        <w:rPr>
          <w:b/>
        </w:rPr>
      </w:r>
      <w:r>
        <w:t xml:space="preserve"> This is the one recommendation here that improves a result rather</w:t>
      </w:r>
    </w:p>
    <w:p>
      <w:pPr>
        <w:jc w:val="both"/>
      </w:pPr>
      <w:r>
        <w:t>than qualifying it. pDockQ actively cancels the signal in this regime,</w:t>
      </w:r>
    </w:p>
    <w:p>
      <w:pPr>
        <w:jc w:val="both"/>
      </w:pPr>
      <w:r>
        <w:t>because its contact term favours scrambled peptides.</w:t>
      </w:r>
    </w:p>
    <w:p>
      <w:pPr>
        <w:jc w:val="both"/>
      </w:pPr>
      <w:r>
        <w:t xml:space="preserve">2. </w:t>
      </w:r>
      <w:r>
        <w:rPr>
          <w:b/>
        </w:rPr>
        <w:t>Report replicate-averaged confidence for per-receptor claims.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3.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4. </w:t>
      </w:r>
      <w:r>
        <w:rPr>
          <w:b/>
        </w:rPr>
        <w:t>Screen benchmark panels for post-translational modifications.</w:t>
      </w:r>
      <w:r>
        <w:t xml:space="preserve"> Seven of 25</w:t>
      </w:r>
    </w:p>
    <w:p>
      <w:pPr>
        <w:jc w:val="both"/>
      </w:pPr>
      <w:r>
        <w:t>candidate complexes were PTM-dependent; folding the canonical sequence makes</w:t>
      </w:r>
    </w:p>
    <w:p>
      <w:pPr>
        <w:jc w:val="both"/>
      </w:pPr>
      <w:r>
        <w:t>those "positives" non-binding, which silently penalises the metric under test.</w:t>
      </w:r>
    </w:p>
    <w:p>
      <w:pPr>
        <w:jc w:val="both"/>
      </w:pPr>
      <w:r>
        <w:t xml:space="preserve">5.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6.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1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