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rFonts w:ascii="Times New Roman" w:hAnsi="Times New Roman"/>
          <w:b/>
          <w:color w:val="0C2340"/>
          <w:sz w:val="32"/>
        </w:rPr>
        <w:t>EFFICIENCY-OPTIMIZED GENERATIVE PARADIGMS FOR</w:t>
        <w:br/>
        <w:t>LARGE-SCALE BIOMOLECULAR DESIGN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BITS ZG628T: Dissertation</w:t>
      </w:r>
    </w:p>
    <w:p>
      <w:pPr>
        <w:spacing w:after="120"/>
        <w:jc w:val="center"/>
      </w:pPr>
      <w:r>
        <w:rPr>
          <w:rFonts w:ascii="Times New Roman" w:hAnsi="Times New Roman"/>
          <w:i/>
          <w:sz w:val="22"/>
        </w:rPr>
        <w:t>by</w:t>
      </w:r>
    </w:p>
    <w:p>
      <w:pPr>
        <w:spacing w:after="80"/>
        <w:jc w:val="center"/>
      </w:pPr>
      <w:r>
        <w:rPr>
          <w:rFonts w:ascii="Times New Roman" w:hAnsi="Times New Roman"/>
          <w:b/>
          <w:sz w:val="26"/>
        </w:rPr>
        <w:t>Akik Jana</w:t>
      </w:r>
    </w:p>
    <w:p>
      <w:pPr>
        <w:spacing w:after="720"/>
        <w:jc w:val="center"/>
      </w:pPr>
      <w:r>
        <w:rPr>
          <w:rFonts w:ascii="Times New Roman" w:hAnsi="Times New Roman"/>
          <w:sz w:val="22"/>
        </w:rPr>
        <w:t>(2024AB05287)</w:t>
      </w:r>
    </w:p>
    <w:p>
      <w:pPr>
        <w:spacing w:after="120"/>
        <w:jc w:val="center"/>
      </w:pPr>
      <w:r>
        <w:rPr>
          <w:rFonts w:ascii="Times New Roman" w:hAnsi="Times New Roman"/>
          <w:i/>
          <w:sz w:val="22"/>
        </w:rPr>
        <w:t>Dissertation work carried out at</w:t>
      </w:r>
    </w:p>
    <w:p>
      <w:pPr>
        <w:spacing w:after="720"/>
        <w:jc w:val="center"/>
      </w:pPr>
      <w:r>
        <w:rPr>
          <w:rFonts w:ascii="Times New Roman" w:hAnsi="Times New Roman"/>
          <w:b/>
          <w:sz w:val="24"/>
        </w:rPr>
        <w:t>Mu Sigma, Bangalore</w:t>
      </w:r>
    </w:p>
    <w:p>
      <w:pPr>
        <w:spacing w:after="720"/>
        <w:ind w:left="1080" w:right="1080"/>
        <w:jc w:val="center"/>
      </w:pPr>
      <w:r>
        <w:rPr>
          <w:rFonts w:ascii="Times New Roman" w:hAnsi="Times New Roman"/>
          <w:i/>
          <w:sz w:val="22"/>
        </w:rPr>
        <w:t>Submitted in partial fulfilment of M.Tech. in Artificial Intelligence and Machine Learning degree programme</w:t>
      </w:r>
    </w:p>
    <w:p>
      <w:pPr>
        <w:spacing w:after="120"/>
        <w:jc w:val="center"/>
      </w:pPr>
      <w:r>
        <w:rPr>
          <w:rFonts w:ascii="Times New Roman" w:hAnsi="Times New Roman"/>
          <w:i/>
          <w:sz w:val="22"/>
        </w:rPr>
        <w:t>Under the Supervision of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Dr. Arnab Bandyopadhyay</w:t>
      </w:r>
    </w:p>
    <w:p>
      <w:pPr>
        <w:spacing w:after="800"/>
        <w:jc w:val="center"/>
      </w:pPr>
      <w:r>
        <w:rPr>
          <w:rFonts w:ascii="Times New Roman" w:hAnsi="Times New Roman"/>
          <w:sz w:val="22"/>
        </w:rPr>
        <w:t>RnD Division, Dr. Reddy's Laboratories, Hyderabad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b/>
          <w:color w:val="0C2340"/>
          <w:sz w:val="26"/>
        </w:rPr>
        <w:t>BIRLA INSTITUTE OF TECHNOLOGY &amp; SCIENCE</w:t>
      </w:r>
    </w:p>
    <w:p>
      <w:pPr>
        <w:spacing w:after="240"/>
        <w:jc w:val="center"/>
      </w:pPr>
      <w:r>
        <w:rPr>
          <w:rFonts w:ascii="Times New Roman" w:hAnsi="Times New Roman"/>
          <w:b/>
          <w:color w:val="0C2340"/>
          <w:sz w:val="24"/>
        </w:rPr>
        <w:t>PILANI (RAJASTHAN)</w:t>
      </w:r>
    </w:p>
    <w:p>
      <w:pPr>
        <w:jc w:val="center"/>
      </w:pPr>
      <w:r>
        <w:rPr>
          <w:rFonts w:ascii="Times New Roman" w:hAnsi="Times New Roman"/>
          <w:sz w:val="22"/>
        </w:rPr>
        <w:t>June 2026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ABSTRACT</w:t>
      </w:r>
    </w:p>
    <w:p>
      <w:pPr>
        <w:jc w:val="both"/>
      </w:pPr>
      <w:r>
        <w:t xml:space="preserve">This dissertation addresses the high computational cost, GPU latency, and memory footprint of generating large-scale, all-atom biomolecular binders. We introduce </w:t>
      </w:r>
      <w:r>
        <w:rPr>
          <w:b/>
        </w:rPr>
        <w:t>Boltz-Fast</w:t>
      </w:r>
      <w:r>
        <w:t>, a unified framework that fuses LLM efficiency optimizations with deep structural modeling to bypass memory and compute bottlenecks in protein structure prediction.</w:t>
      </w:r>
    </w:p>
    <w:p>
      <w:pPr>
        <w:jc w:val="both"/>
      </w:pPr>
      <w:r>
        <w:t xml:space="preserve">All </w:t>
      </w:r>
      <w:r>
        <w:rPr>
          <w:b/>
        </w:rPr>
        <w:t>six development milestones (M1–M6)</w:t>
      </w:r>
      <w:r>
        <w:t xml:space="preserve"> have been implemented, integrated, and verified:</w:t>
      </w:r>
    </w:p>
    <w:p>
      <w:pPr>
        <w:jc w:val="both"/>
      </w:pPr>
      <w:r>
        <w:t xml:space="preserve">1. </w:t>
      </w:r>
      <w:r>
        <w:rPr>
          <w:b/>
        </w:rPr>
        <w:t>M1 — E2E Test Suite</w:t>
      </w:r>
      <w:r>
        <w:t xml:space="preserve">: Initialized a 4-tier validation suite covering functional, boundary, integration, and biological constraints; since expanded to </w:t>
      </w:r>
      <w:r>
        <w:rPr>
          <w:b/>
        </w:rPr>
        <w:t>99 tests</w:t>
      </w:r>
      <w:r>
        <w:t xml:space="preserve"> running under </w:t>
      </w:r>
      <w:r>
        <w:rPr>
          <w:rFonts w:ascii="Courier New" w:hAnsi="Courier New"/>
          <w:sz w:val="19"/>
          <w:shd w:fill="f7fafc"/>
        </w:rPr>
        <w:t>pytest</w:t>
      </w:r>
      <w:r>
        <w:t xml:space="preserve"> in continuous integration.</w:t>
      </w:r>
    </w:p>
    <w:p>
      <w:pPr>
        <w:jc w:val="both"/>
      </w:pPr>
      <w:r>
        <w:t xml:space="preserve">2. </w:t>
      </w:r>
      <w:r>
        <w:rPr>
          <w:b/>
        </w:rPr>
        <w:t>M2 — Apple Silicon MPS Compatibility</w:t>
      </w:r>
      <w:r>
        <w:t>: Resolved CUDA dependencies by implementing device-agnostic execution and dynamic memory autocasting for Apple M-series chips.</w:t>
      </w:r>
    </w:p>
    <w:p>
      <w:pPr>
        <w:jc w:val="both"/>
      </w:pPr>
      <w:r>
        <w:t xml:space="preserve">3. </w:t>
      </w:r>
      <w:r>
        <w:rPr>
          <w:b/>
        </w:rPr>
        <w:t>M3 — Low-Rank Pair Representation</w:t>
      </w:r>
      <w:r>
        <w:t xml:space="preserve">: Replaced memory-heavy outer product mean updates with a custom autograd low-rank tensor product, reducing stored activations by up to </w:t>
      </w:r>
      <w:r>
        <w:rPr>
          <w:b/>
        </w:rPr>
        <w:t>1502x</w:t>
      </w:r>
      <w:r>
        <w:t xml:space="preserve"> in a synthetic microbenchmark. The accompanying reconstruction error is large (Table 3), and the subsequent measurement phase established that this saving is </w:t>
      </w:r>
      <w:r>
        <w:rPr>
          <w:b/>
        </w:rPr>
        <w:t>not reachable on pretrained Boltz weights</w:t>
      </w:r>
      <w:r>
        <w:t xml:space="preserve"> (Section 6.1).</w:t>
      </w:r>
    </w:p>
    <w:p>
      <w:pPr>
        <w:jc w:val="both"/>
      </w:pPr>
      <w:r>
        <w:t xml:space="preserve">4. </w:t>
      </w:r>
      <w:r>
        <w:rPr>
          <w:b/>
        </w:rPr>
        <w:t>M4 — CFG Distillation</w:t>
      </w:r>
      <w:r>
        <w:t xml:space="preserve">: Integrated a single-pass student model to bypass expensive double-pass Classifier-Free Guidance (CFG) evaluations, achieving a </w:t>
      </w:r>
      <w:r>
        <w:rPr>
          <w:b/>
        </w:rPr>
        <w:t>3.85x speedup</w:t>
      </w:r>
      <w:r>
        <w:t xml:space="preserve"> on the grid sweep of Table 2.</w:t>
      </w:r>
    </w:p>
    <w:p>
      <w:pPr>
        <w:jc w:val="both"/>
      </w:pPr>
      <w:r>
        <w:t xml:space="preserve">5. </w:t>
      </w:r>
      <w:r>
        <w:rPr>
          <w:b/>
        </w:rPr>
        <w:t>M5 — Neural Coordinate Refinement</w:t>
      </w:r>
      <w:r>
        <w:t>: Wired a ResNet-based post-diffusion coordinator to resolve biophysical violations (bond lengths, clashes) with zero standard regression.</w:t>
      </w:r>
    </w:p>
    <w:p>
      <w:pPr>
        <w:jc w:val="both"/>
      </w:pPr>
      <w:r>
        <w:t xml:space="preserve">6. </w:t>
      </w:r>
      <w:r>
        <w:rPr>
          <w:b/>
        </w:rPr>
        <w:t>M6 — E2E Verification</w:t>
      </w:r>
      <w:r>
        <w:t>: Executed the full suite on local hardware with a 100% pass rate.</w:t>
      </w:r>
    </w:p>
    <w:p>
      <w:pPr>
        <w:jc w:val="both"/>
      </w:pPr>
      <w:r>
        <w:t>A second phase moved the project from component microbenchmarks to end-to-end</w:t>
      </w:r>
    </w:p>
    <w:p>
      <w:pPr>
        <w:jc w:val="both"/>
      </w:pPr>
      <w:r>
        <w:t>measurement against pretrained checkpoints and experimentally determined</w:t>
      </w:r>
    </w:p>
    <w:p>
      <w:pPr>
        <w:jc w:val="both"/>
      </w:pPr>
      <w:r>
        <w:t xml:space="preserve">structures. </w:t>
      </w:r>
      <w:r>
        <w:rPr>
          <w:b/>
        </w:rPr>
        <w:t>This phase produced two substantive negative results</w:t>
      </w:r>
      <w:r>
        <w:t>, reported in</w:t>
      </w:r>
    </w:p>
    <w:p>
      <w:pPr>
        <w:jc w:val="both"/>
      </w:pPr>
      <w:r>
        <w:t>full in Section 6: the low-rank pair representation cannot be recovered from</w:t>
      </w:r>
    </w:p>
    <w:p>
      <w:pPr>
        <w:jc w:val="both"/>
      </w:pPr>
      <w:r>
        <w:t>pretrained weights at any rank that saves memory, and interface confidence</w:t>
      </w:r>
    </w:p>
    <w:p>
      <w:pPr>
        <w:jc w:val="both"/>
      </w:pPr>
      <w:r>
        <w:t>(ipTM) does not rank peptide binders well enough to serve as a screening</w:t>
      </w:r>
    </w:p>
    <w:p>
      <w:pPr>
        <w:jc w:val="both"/>
      </w:pPr>
      <w:r>
        <w:t>reference. Both are reported because they redirect the remaining work, and both</w:t>
      </w:r>
    </w:p>
    <w:p>
      <w:pPr>
        <w:jc w:val="both"/>
      </w:pPr>
      <w:r>
        <w:t>are supported by controls, held-out splits, and power analysis rather than by</w:t>
      </w:r>
    </w:p>
    <w:p>
      <w:pPr>
        <w:jc w:val="both"/>
      </w:pPr>
      <w:r>
        <w:t>single favourable runs.</w:t>
      </w:r>
    </w:p>
    <w:p>
      <w:pPr>
        <w:jc w:val="both"/>
      </w:pPr>
      <w:r>
        <w:t>The engineering results stand: the pipeline is device-agnostic, memory-stable on</w:t>
      </w:r>
    </w:p>
    <w:p>
      <w:pPr>
        <w:jc w:val="both"/>
      </w:pPr>
      <w:r>
        <w:t>Apple Silicon, and now measured end to end against real structures rather than</w:t>
      </w:r>
    </w:p>
    <w:p>
      <w:pPr>
        <w:jc w:val="both"/>
      </w:pPr>
      <w:r>
        <w:t>mock tensors.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Student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Akik Jana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Bangalore</w:t>
            </w:r>
          </w:p>
        </w:tc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Supervisor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Dr. Arnab Bandyopadhyay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Hyderabad</w:t>
            </w:r>
          </w:p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</w:tbl>
    <w:p/>
    <w:p>
      <w:pPr>
        <w:jc w:val="both"/>
      </w:pPr>
      <w:r>
        <w:t>&lt;div class="sig-col"&gt;</w:t>
      </w:r>
    </w:p>
    <w:p>
      <w:pPr>
        <w:jc w:val="both"/>
      </w:pPr>
      <w:r>
        <w:t>&lt;div class="sig-line"&gt;&lt;/div&gt;</w:t>
      </w:r>
    </w:p>
    <w:p>
      <w:pPr>
        <w:jc w:val="both"/>
      </w:pPr>
      <w:r>
        <w:t>&lt;div class="sig-title"&gt;Signature of the Supervisor&lt;/div&gt;</w:t>
      </w:r>
    </w:p>
    <w:p>
      <w:pPr>
        <w:jc w:val="both"/>
      </w:pPr>
      <w:r>
        <w:t>&lt;div class="sig-field"&gt;</w:t>
      </w:r>
      <w:r>
        <w:rPr>
          <w:b/>
        </w:rPr>
        <w:t>Name:</w:t>
      </w:r>
      <w:r>
        <w:t xml:space="preserve"> Dr. Arnab Bandyopadhyay&lt;/div&gt;</w:t>
      </w:r>
    </w:p>
    <w:p>
      <w:pPr>
        <w:jc w:val="both"/>
      </w:pPr>
      <w:r>
        <w:t>&lt;div class="sig-field"&gt;</w:t>
      </w:r>
      <w:r>
        <w:rPr>
          <w:b/>
        </w:rPr>
        <w:t>Date:</w:t>
      </w:r>
      <w:r>
        <w:t xml:space="preserve"> June 22, 2026&lt;/div&gt;</w:t>
      </w:r>
    </w:p>
    <w:p>
      <w:pPr>
        <w:jc w:val="both"/>
      </w:pPr>
      <w:r>
        <w:t>&lt;div class="sig-field"&gt;</w:t>
      </w:r>
      <w:r>
        <w:rPr>
          <w:b/>
        </w:rPr>
        <w:t>Place:</w:t>
      </w:r>
      <w:r>
        <w:t xml:space="preserve"> Hyderabad&lt;/div&gt;</w:t>
      </w:r>
    </w:p>
    <w:p>
      <w:pPr>
        <w:jc w:val="both"/>
      </w:pPr>
      <w:r>
        <w:t>&lt;/div&gt;</w:t>
      </w:r>
    </w:p>
    <w:p>
      <w:pPr>
        <w:jc w:val="both"/>
      </w:pPr>
      <w:r>
        <w:t>&lt;/div&gt;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Contents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1. MODULES IN BOLTZ-FAST ..................................................................................................... 5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a) Multi-Head Latent Attention (MLA) Cache ............................................................................... 5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b) Fold-CP Sequence Parallelism ............................................................................................. 5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c) 2D Ring Triangular Multiplication Unit (TMU) ........................................................................ 6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d) Low-Rank Pair Representation (OPM Replacement) [M3] ..................................................... 6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e) Classifier-Free Guidance (CFG) Distillation [M4] ..................................................................... 6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f) Neural Coordinate Refinement [M5] ..................................................................................... 7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g) Speculative Flow Matching Sampler ....................................................................................... 7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h) Reference-Free SimPO Loss Tuning .................................nbsp;</w:t>
      </w:r>
      <w:r>
        <w:t xml:space="preserve"> </w:t>
      </w:r>
      <w:r>
        <w:t xml:space="preserve"> </w:t>
      </w:r>
      <w:r>
        <w:t xml:space="preserve"> 8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i) g-DPO Linear Preference Alignment .................................nbsp;</w:t>
      </w:r>
      <w:r>
        <w:t xml:space="preserve"> </w:t>
      </w:r>
      <w:r>
        <w:t xml:space="preserve"> </w:t>
      </w:r>
      <w:r>
        <w:t xml:space="preserve"> 8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2. FUNCTIONAL BLOCK DIAGRAM &amp; METHODOLOGY ........................................................... 9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3. MAJOR TECHNICAL SPECIFICATIONS &amp; BENCHMARKS ................................................... 10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4. DESIGN CONSIDERATIONS ..................................................................................................... 12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5. VERIFICATION &amp; TESTING (M1 &amp; M6) ................................................................................... 13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6. MEASURED RESULTS AGAINST PRETRAINED WEIGHTS ................................................. 15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6.1 Low-Rank Pair Representation on Pretrained Weights ...................................................... 15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6.2 Interface Confidence as a Binder-Ranking Reference ....................................................... 16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6.3 Boltz-2 Comparison and a Benchmark Correction ............................................................ 17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7. FUTURE PLAN ............................................................................................................................. 18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8. ABBREVIATIONS ......................................................................................................................... 19</w:t>
      </w:r>
    </w:p>
    <w:p>
      <w:pPr>
        <w:jc w:val="both"/>
      </w:pPr>
      <w:r>
        <w:t xml:space="preserve"> 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List of Figures</w:t>
      </w:r>
    </w:p>
    <w:p>
      <w:pPr>
        <w:jc w:val="both"/>
      </w:pPr>
      <w:r>
        <w:t>Figure 1: Core Modules in Boltz-Fast .................................................................................................... 5</w:t>
      </w:r>
    </w:p>
    <w:p>
      <w:pPr>
        <w:jc w:val="both"/>
      </w:pPr>
      <w:r>
        <w:t>Figure 2: C-alpha Backbone 3D Coordinate Plot ................................................................................... 11</w:t>
      </w:r>
    </w:p>
    <w:p>
      <w:pPr>
        <w:jc w:val="both"/>
      </w:pPr>
      <w:r>
        <w:t>Figure 3: Ray-Traced Protein Ribbon Model Rendering ........................................................................ 11</w:t>
      </w:r>
    </w:p>
    <w:p>
      <w:pPr>
        <w:jc w:val="both"/>
      </w:pPr>
      <w:r>
        <w:t>Figure 4: ANE-Accelerated 3D Insulin Backbone Visualization ................................................................ 11</w:t>
      </w:r>
    </w:p>
    <w:p>
      <w:pPr>
        <w:jc w:val="both"/>
      </w:pPr>
      <w:r>
        <w:t>Figure 5: Post-Diffusion Neural Coordinate Refinement Comparison .................................................... 13</w:t>
      </w:r>
    </w:p>
    <w:p>
      <w:pPr>
        <w:jc w:val="both"/>
      </w:pPr>
      <w:r>
        <w:t xml:space="preserve"> 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List of Tables</w:t>
      </w:r>
    </w:p>
    <w:p>
      <w:pPr>
        <w:jc w:val="both"/>
      </w:pPr>
      <w:r>
        <w:t>Table 1: Computational Complexity &amp; Scaling Comparison .................................................................. 10</w:t>
      </w:r>
    </w:p>
    <w:p>
      <w:pPr>
        <w:jc w:val="both"/>
      </w:pPr>
      <w:r>
        <w:t>Table 2: Speculative Flow Matching Grid Sweep Data ........................................................................... 10</w:t>
      </w:r>
    </w:p>
    <w:p>
      <w:pPr>
        <w:jc w:val="both"/>
      </w:pPr>
      <w:r>
        <w:t>Table 3: Low-Rank Pair Representation Performance Scaling ............................................................. 10</w:t>
      </w:r>
    </w:p>
    <w:p>
      <w:pPr>
        <w:jc w:val="both"/>
      </w:pPr>
      <w:r>
        <w:t>Table 4: Dynamic Shape Latency Benchmarks on Apple Silicon ......................................................... 11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1. MODULES IN BOLTZ-FAST</w:t>
      </w:r>
    </w:p>
    <w:p>
      <w:pPr>
        <w:jc w:val="both"/>
      </w:pPr>
      <w:r>
        <w:t>The Boltz-Fast engine accelerates structures generation and reduces hardware footprint by implementing targeted algorithmic optimizations. The core architecture is shown in Figure 1 below.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1: Core Modules in Boltz-Fast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880"/>
            <w:shd w:fill="ebf8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C2340"/>
                <w:sz w:val="20"/>
              </w:rPr>
              <w:t>1. Memory &amp; Parallelism</w:t>
              <w:br/>
            </w:r>
            <w:r>
              <w:rPr>
                <w:sz w:val="17"/>
              </w:rPr>
              <w:t>MLA KV target caching (87.5% memory reduction). Fold-CP sharding and Low-Rank Pair autograd (99.9% VRAM savings).</w:t>
            </w:r>
          </w:p>
        </w:tc>
        <w:tc>
          <w:tcPr>
            <w:tcW w:type="dxa" w:w="43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ABBDD0"/>
                <w:sz w:val="28"/>
              </w:rPr>
              <w:br/>
              <w:t>➔</w:t>
            </w:r>
          </w:p>
        </w:tc>
        <w:tc>
          <w:tcPr>
            <w:tcW w:type="dxa" w:w="2880"/>
            <w:shd w:fill="f0ff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20"/>
              </w:rPr>
              <w:t>2. Accelerated Denoising</w:t>
              <w:br/>
            </w:r>
            <w:r>
              <w:rPr>
                <w:sz w:val="17"/>
              </w:rPr>
              <w:t>CFG Distillation (single-pass student) and Speculative Flow solver (3.85x speedup). Post-diffusion ResNet coordinate refinement.</w:t>
            </w:r>
          </w:p>
        </w:tc>
        <w:tc>
          <w:tcPr>
            <w:tcW w:type="dxa" w:w="43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ABBDD0"/>
                <w:sz w:val="28"/>
              </w:rPr>
              <w:br/>
              <w:t>➔</w:t>
            </w:r>
          </w:p>
        </w:tc>
        <w:tc>
          <w:tcPr>
            <w:tcW w:type="dxa" w:w="2880"/>
            <w:shd w:fill="fffa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C5282"/>
                <w:sz w:val="20"/>
              </w:rPr>
              <w:t>3. Preference Alignment</w:t>
              <w:br/>
            </w:r>
            <w:r>
              <w:rPr>
                <w:sz w:val="17"/>
              </w:rPr>
              <w:t>Reference-free SimPO loss tuning saves 50% VRAM; g-DPO best-vs-all clustering scales linearly O(M).</w:t>
            </w:r>
          </w:p>
        </w:tc>
      </w:tr>
    </w:tbl>
    <w:p/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a) Multi-Head Latent Attention (MLA) Cache</w:t>
      </w:r>
    </w:p>
    <w:p>
      <w:pPr>
        <w:jc w:val="both"/>
      </w:pPr>
      <w:r>
        <w:t xml:space="preserve">Target receptor representations are static during binder screening. Instead of caching raw keys and values of shape </w:t>
      </w:r>
      <w:r>
        <w:rPr>
          <w:rFonts w:ascii="Courier New" w:hAnsi="Courier New"/>
          <w:sz w:val="19"/>
          <w:shd w:fill="f7fafc"/>
        </w:rPr>
        <w:t>[L_target, D]</w:t>
      </w:r>
      <w:r>
        <w:t>, we down-project them into a compressed latent space:</w:t>
      </w:r>
    </w:p>
    <w:p>
      <w:pPr>
        <w:jc w:val="both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D</m:t>
            </m:r>
            <m:r>
              <m:t>K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</w:p>
    <w:p>
      <w:pPr>
        <w:jc w:val="both"/>
      </w:pPr>
      <w:r>
        <w:t xml:space="preserve">where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L</m:t>
                </m:r>
              </m:e>
              <m:sub>
                <m:r>
                  <m:rPr>
                    <m:nor/>
                    <m:sty m:val="p"/>
                  </m:rPr>
                  <m:t>target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latent</m:t>
                </m:r>
              </m:sub>
            </m:sSub>
          </m:sup>
        </m:sSup>
      </m:oMath>
      <w:r>
        <w:t>. Keys and values are reconstructed dynamically:</w:t>
      </w:r>
    </w:p>
    <w:p>
      <w:pPr>
        <w:jc w:val="both"/>
      </w:pPr>
      <m:oMath>
        <m:r>
          <m:t>K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U</m:t>
            </m:r>
            <m:r>
              <m:t>K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,</m:t>
        </m:r>
        <m:r>
          <m:t> 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</w:p>
    <w:p>
      <w:pPr>
        <w:jc w:val="both"/>
      </w:pPr>
      <w:r>
        <w:t xml:space="preserve">This reduces cached state sizes from </w:t>
      </w:r>
      <m:oMath>
        <m:r>
          <m:t>2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×</m:t>
        </m:r>
        <m:r>
          <m:t>D</m:t>
        </m:r>
      </m:oMath>
      <w:r>
        <w:t xml:space="preserve"> to 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latent</m:t>
            </m:r>
          </m:sub>
        </m:sSub>
      </m:oMath>
      <w:r>
        <w:t xml:space="preserve">, obtaining an </w:t>
      </w:r>
      <w:r>
        <w:rPr>
          <w:b/>
        </w:rPr>
        <w:t>87.5% memory saving</w:t>
      </w:r>
      <w:r>
        <w:t xml:space="preserve"> at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latent</m:t>
            </m:r>
          </m:sub>
        </m:sSub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128</m:t>
        </m:r>
      </m:oMath>
      <w:r>
        <w:t>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b) Fold-CP Sequence Parallelism</w:t>
      </w:r>
    </w:p>
    <w:p>
      <w:pPr>
        <w:jc w:val="both"/>
      </w:pPr>
      <w:r>
        <w:t xml:space="preserve">We partition the sequence dimension into shards of size </w:t>
      </w:r>
      <m:oMath>
        <m:r>
          <m:t>N</m:t>
        </m:r>
        <m:r>
          <m:rPr>
            <m:sty m:val="p"/>
          </m:rPr>
          <m:t>/</m:t>
        </m:r>
        <m:r>
          <m:t>P</m:t>
        </m:r>
      </m:oMath>
      <w:r>
        <w:t xml:space="preserve"> across </w:t>
      </w:r>
      <m:oMath>
        <m:r>
          <m:t>P</m:t>
        </m:r>
      </m:oMath>
      <w:r>
        <w:t xml:space="preserve"> GPUs. The ranks compute self-attention locally and pass Key/Value shards along a virtual ring using Online Softmax to maintain exact numerical parity:</w:t>
      </w:r>
    </w:p>
    <w:p>
      <w:pPr>
        <w:jc w:val="both"/>
      </w:pP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</w:p>
    <w:p>
      <w:pPr>
        <w:jc w:val="both"/>
      </w:pP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+</m:t>
        </m:r>
        <m:sSup>
          <m:e>
            <m:r>
              <m:t>e</m:t>
            </m:r>
          </m:e>
          <m:sup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c) 2D Ring Triangular Multiplication Unit (TMU)</w:t>
      </w:r>
    </w:p>
    <w:p>
      <w:pPr>
        <w:jc w:val="both"/>
      </w:pPr>
      <w:r>
        <w:t xml:space="preserve">Triangular updates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are split over a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grid. Shifting row and column sub-blocks along grid rings reduces local memory footprint from quadratic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to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P</m:t>
        </m:r>
        <m:r>
          <m:rPr>
            <m:sty m:val="p"/>
          </m:rPr>
          <m:t>)</m:t>
        </m:r>
      </m:oMath>
      <w:r>
        <w:t>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d) Low-Rank Pair Representation (OPM Replacement) [M3]</w:t>
      </w:r>
    </w:p>
    <w:p>
      <w:pPr>
        <w:jc w:val="both"/>
      </w:pPr>
      <w:r>
        <w:t xml:space="preserve">Outer Product Mean (OPM) layers project sequence matrices to </w:t>
      </w:r>
      <m:oMath>
        <m:r>
          <m:t>N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pair</m:t>
            </m:r>
          </m:sub>
        </m:sSub>
      </m:oMath>
      <w:r>
        <w:t xml:space="preserve"> spaces, creating an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pair</m:t>
            </m:r>
          </m:sub>
        </m:sSub>
        <m:r>
          <m:rPr>
            <m:sty m:val="p"/>
          </m:rPr>
          <m:t>)</m:t>
        </m:r>
      </m:oMath>
      <w:r>
        <w:t xml:space="preserve"> memory bottleneck. We implement a low-rank decomposition using </w:t>
      </w:r>
      <w:r>
        <w:rPr>
          <w:rFonts w:ascii="Courier New" w:hAnsi="Courier New"/>
          <w:sz w:val="19"/>
          <w:shd w:fill="f7fafc"/>
        </w:rPr>
        <w:t>LowRankPairUpdater</w:t>
      </w:r>
      <w:r>
        <w:t>:</w:t>
      </w:r>
    </w:p>
    <w:p>
      <w:pPr>
        <w:jc w:val="both"/>
      </w:pPr>
      <m:oMath>
        <m:sSub>
          <m:e>
            <m:r>
              <m:t>U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</m:sub>
            </m:sSub>
          </m:e>
        </m:nary>
        <m:sSub>
          <m:e>
            <m:r>
              <m:t>Y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sSub>
          <m:e>
            <m:r>
              <m:t>W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</m:sub>
        </m:sSub>
      </m:oMath>
    </w:p>
    <w:p>
      <w:pPr>
        <w:jc w:val="both"/>
      </w:pPr>
      <w:r>
        <w:t xml:space="preserve">where sequence projections </w:t>
      </w:r>
      <m:oMath>
        <m:r>
          <m:t>X</m:t>
        </m:r>
      </m:oMath>
      <w:r>
        <w:t xml:space="preserve"> and </w:t>
      </w:r>
      <m:oMath>
        <m:r>
          <m:t>Y</m:t>
        </m:r>
      </m:oMath>
      <w:r>
        <w:t xml:space="preserve"> have a low rank </w:t>
      </w:r>
      <m:oMath>
        <m:r>
          <m:t>r</m:t>
        </m:r>
        <m:r>
          <m:rPr>
            <m:sty m:val="p"/>
          </m:rPr>
          <m:t>≪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pair</m:t>
            </m:r>
          </m:sub>
        </m:sSub>
      </m:oMath>
      <w:r>
        <w:t>. A custom autograd backward pass computes gradients on-the-fly, bypassing quadratic activation storage and preventing Metal Out-Of-Memory (OOM) errors.</w:t>
      </w:r>
    </w:p>
    <w:p>
      <w:pPr>
        <w:jc w:val="both"/>
      </w:pPr>
      <w:r>
        <w:t>The implementation is numerically verified against the reference OPM and</w:t>
      </w:r>
    </w:p>
    <w:p>
      <w:pPr>
        <w:jc w:val="both"/>
      </w:pPr>
      <w:r>
        <w:t>mutation-tested. Its parameters do not correspond to those of a released</w:t>
      </w:r>
    </w:p>
    <w:p>
      <w:pPr>
        <w:jc w:val="both"/>
      </w:pPr>
      <w:r>
        <w:t xml:space="preserve">checkpoint, so it is selected at runtime by the </w:t>
      </w:r>
      <w:r>
        <w:rPr>
          <w:rFonts w:ascii="Courier New" w:hAnsi="Courier New"/>
          <w:sz w:val="19"/>
          <w:shd w:fill="f7fafc"/>
        </w:rPr>
        <w:t>BOLTZMAC_OPM</w:t>
      </w:r>
      <w:r>
        <w:t xml:space="preserve"> environment</w:t>
      </w:r>
    </w:p>
    <w:p>
      <w:pPr>
        <w:jc w:val="both"/>
      </w:pPr>
      <w:r>
        <w:t>variable, defaulting to the stock implementation. Section 6.1 reports the</w:t>
      </w:r>
    </w:p>
    <w:p>
      <w:pPr>
        <w:jc w:val="both"/>
      </w:pPr>
      <w:r>
        <w:t>measured limits of substituting it into a pretrained model.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e) Classifier-Free Guidance (CFG) Distillation [M4]</w:t>
      </w:r>
    </w:p>
    <w:p>
      <w:pPr>
        <w:jc w:val="both"/>
      </w:pPr>
      <w:r>
        <w:t xml:space="preserve">Standard CFG requires evaluating the score network twice per denoising step (conditional and unconditional). We implement a distilled student network </w:t>
      </w:r>
      <w:r>
        <w:rPr>
          <w:rFonts w:ascii="Courier New" w:hAnsi="Courier New"/>
          <w:sz w:val="19"/>
          <w:shd w:fill="f7fafc"/>
        </w:rPr>
        <w:t>CFGDistilledVectorField</w:t>
      </w:r>
      <w:r>
        <w:t xml:space="preserve"> that directly accepts a guidance scale </w:t>
      </w:r>
      <m:oMath>
        <m:r>
          <m:t>s</m:t>
        </m:r>
      </m:oMath>
      <w:r>
        <w:t>:</w:t>
      </w:r>
    </w:p>
    <w:p>
      <w:pPr>
        <w:jc w:val="both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guided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uncond</m:t>
            </m:r>
          </m:sub>
        </m:sSub>
        <m:r>
          <m:rPr>
            <m:sty m:val="p"/>
          </m:rPr>
          <m:t>)</m:t>
        </m:r>
      </m:oMath>
    </w:p>
    <w:p>
      <w:pPr>
        <w:jc w:val="both"/>
      </w:pPr>
      <w:r>
        <w:t>During training, we minimize the Huber loss between student predictions and teacher outputs across random scales. This allows the student to run in a single forward pass, cutting diffusion latency in half.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f) Neural Coordinate Refinement [M5]</w:t>
      </w:r>
    </w:p>
    <w:p>
      <w:pPr>
        <w:jc w:val="both"/>
      </w:pPr>
      <w:r>
        <w:t xml:space="preserve">Diffusion loops can produce structures with biophysical violations, such as incorrect adjacent 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bond lengths (ideal: 3.80 Å) and steric clashes. We introduce </w:t>
      </w:r>
      <w:r>
        <w:rPr>
          <w:rFonts w:ascii="Courier New" w:hAnsi="Courier New"/>
          <w:sz w:val="19"/>
          <w:shd w:fill="f7fafc"/>
        </w:rPr>
        <w:t>ResNetCoordinateRefiner</w:t>
      </w:r>
      <w:r>
        <w:t>, a 3-block MLP with LayerNorm and residual updates. It processes final diffusion coordinates and raw sequence features to output clean, corrected 3D coordinates.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g) Speculative Flow Matching Sampler</w:t>
      </w:r>
    </w:p>
    <w:p>
      <w:pPr>
        <w:jc w:val="both"/>
      </w:pPr>
      <w:r>
        <w:t xml:space="preserve">Speculative sampling uses a lightweight </w:t>
      </w:r>
      <w:r>
        <w:rPr>
          <w:b/>
        </w:rPr>
        <w:t>Draft model</w:t>
      </w:r>
      <w:r>
        <w:t xml:space="preserve"> to project </w:t>
      </w:r>
      <m:oMath>
        <m:r>
          <m:t>K</m:t>
        </m:r>
      </m:oMath>
      <w:r>
        <w:t xml:space="preserve"> lookahead integration steps:</w:t>
      </w:r>
    </w:p>
    <w:p>
      <w:pPr>
        <w:jc w:val="both"/>
      </w:pP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</m:sSub>
      </m:oMath>
    </w:p>
    <w:p>
      <w:pPr>
        <w:jc w:val="both"/>
      </w:pPr>
      <w:r>
        <w:t xml:space="preserve">The heavy </w:t>
      </w:r>
      <w:r>
        <w:rPr>
          <w:b/>
        </w:rPr>
        <w:t>Target model</w:t>
      </w:r>
      <w:r>
        <w:t xml:space="preserve"> evaluates these states in parallel. If the discrepancy is within </w:t>
      </w:r>
      <m:oMath>
        <m:r>
          <m:t>ϵ</m:t>
        </m:r>
      </m:oMath>
      <w:r>
        <w:t>:</w:t>
      </w:r>
    </w:p>
    <w:p>
      <w:pPr>
        <w:jc w:val="both"/>
      </w:pP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draft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ϵ</m:t>
        </m:r>
      </m:oMath>
    </w:p>
    <w:p>
      <w:pPr>
        <w:jc w:val="both"/>
      </w:pPr>
      <w:r>
        <w:t>the steps are accepted, skipping expensive target evaluations.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h) Reference-Free SimPO Loss Tuning</w:t>
      </w:r>
    </w:p>
    <w:p>
      <w:pPr>
        <w:jc w:val="both"/>
      </w:pPr>
      <w:r>
        <w:t>SimPO directly aligns sequence policies without the need for a frozen reference model, optimizing a length-normalized margin loss:</w:t>
      </w:r>
    </w:p>
    <w:p>
      <w:pPr>
        <w:jc w:val="both"/>
      </w:pP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SimPO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β</m:t>
                </m:r>
              </m:num>
              <m:den>
                <m:sSub>
                  <m:e>
                    <m:r>
                      <m:t>L</m:t>
                    </m:r>
                  </m:e>
                  <m:sub>
                    <m:r>
                      <m:t>w</m:t>
                    </m:r>
                  </m:sub>
                </m:sSub>
              </m:den>
            </m:f>
            <m:r>
              <m:rPr>
                <m:sty m:val="p"/>
              </m:rPr>
              <m:t>log</m:t>
            </m:r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sSub>
                  <m:e>
                    <m:r>
                      <m:t>L</m:t>
                    </m:r>
                  </m:e>
                  <m:sub>
                    <m:r>
                      <m:t>l</m:t>
                    </m:r>
                  </m:sub>
                </m:sSub>
              </m:den>
            </m:f>
            <m:r>
              <m:rPr>
                <m:sty m:val="p"/>
              </m:rPr>
              <m:t>log</m:t>
            </m:r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</w:p>
    <w:p>
      <w:pPr>
        <w:jc w:val="both"/>
      </w:pPr>
      <w:r>
        <w:t xml:space="preserve">where </w:t>
      </w:r>
      <m:oMath>
        <m:sSub>
          <m:e>
            <m:r>
              <m:t>y</m:t>
            </m:r>
          </m:e>
          <m:sub>
            <m:r>
              <m:t>w</m:t>
            </m:r>
          </m:sub>
        </m:sSub>
      </m:oMath>
      <w:r>
        <w:t xml:space="preserve"> and </w:t>
      </w:r>
      <m:oMath>
        <m:sSub>
          <m:e>
            <m:r>
              <m:t>y</m:t>
            </m:r>
          </m:e>
          <m:sub>
            <m:r>
              <m:t>l</m:t>
            </m:r>
          </m:sub>
        </m:sSub>
      </m:oMath>
      <w:r>
        <w:t xml:space="preserve"> are the preferred and dispreferred sequences, saving </w:t>
      </w:r>
      <w:r>
        <w:rPr>
          <w:b/>
        </w:rPr>
        <w:t>50% VRAM</w:t>
      </w:r>
      <w:r>
        <w:t xml:space="preserve"> during fine-tuning.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i) g-DPO Linear Preference Alignment</w:t>
      </w:r>
    </w:p>
    <w:p>
      <w:pPr>
        <w:jc w:val="both"/>
      </w:pPr>
      <w:r>
        <w:t xml:space="preserve">Compares candidate sequences using a </w:t>
      </w:r>
      <w:r>
        <w:rPr>
          <w:rFonts w:ascii="Courier New" w:hAnsi="Courier New"/>
          <w:sz w:val="19"/>
          <w:shd w:fill="f7fafc"/>
        </w:rPr>
        <w:t>"best_vs_all"</w:t>
      </w:r>
      <w:r>
        <w:t xml:space="preserve"> strategy inside Union Mask Clusters. This reduces alignment comparison complexity from quadratic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to linear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where </w:t>
      </w:r>
      <m:oMath>
        <m:r>
          <m:t>M</m:t>
        </m:r>
      </m:oMath>
      <w:r>
        <w:t xml:space="preserve"> is the number of candidates.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2. FUNCTIONAL BLOCK DIAGRAM &amp; METHODOLOGY</w:t>
      </w:r>
    </w:p>
    <w:p>
      <w:pPr>
        <w:jc w:val="both"/>
      </w:pPr>
      <w:r>
        <w:t>The system integrates context preparation, memory-efficient representation, speculative sampling, and post-diffusion coordinate refinement into a unified pipeline: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8" w:space="0" w:color="3182ce"/>
          <w:right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line="240" w:lineRule="auto" w:after="0"/>
            </w:pPr>
            <w:r>
              <w:rPr>
                <w:rFonts w:ascii="Courier New" w:hAnsi="Courier New"/>
                <w:color w:val="2D3748"/>
                <w:sz w:val="17"/>
              </w:rPr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1. CONTEXT &amp; MEMORY OPTIMIZATION             │</w:t>
              <w:br/>
              <w:t xml:space="preserve">                  │    - MLA Latent Cache: Target features       │</w:t>
              <w:br/>
              <w:t xml:space="preserve">                  │    - Low-Rank Pair Updater: 99.9% VRAM save  │</w:t>
              <w:br/>
              <w:t xml:space="preserve">                  │    - Fold-CP / Ring Attention sharding       │</w:t>
              <w:br/>
              <w:t xml:space="preserve">                  └──────────────────────┬───────────────────────┘</w:t>
              <w:br/>
              <w:t xml:space="preserve">                                         ▼</w:t>
              <w:br/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2. ACCELERATED GENERATIVE DIFFUSION          │</w:t>
              <w:br/>
              <w:t xml:space="preserve">                  │    - CFG Distilled Single-Pass Inference     │</w:t>
              <w:br/>
              <w:t xml:space="preserve">                  │    - Speculative Flow ODE: K lookahead steps │</w:t>
              <w:br/>
              <w:t xml:space="preserve">                  └──────────────────────┬───────────────────────┘</w:t>
              <w:br/>
              <w:t xml:space="preserve">                                         ▼</w:t>
              <w:br/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3. BIOPHYSICAL STRUCTURAL CLEANUP            │</w:t>
              <w:br/>
              <w:t xml:space="preserve">                  │    - ResNet Coordinate Refiner               │</w:t>
              <w:br/>
              <w:t xml:space="preserve">                  │    - CA-CA bond length projection (3.80 Å)   │</w:t>
              <w:br/>
              <w:t xml:space="preserve">                  └──────────────────────┬───────────────────────┘</w:t>
              <w:br/>
              <w:t xml:space="preserve">                                         ▼</w:t>
              <w:br/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4. PREFERENCE ALIGNMENT                      │</w:t>
              <w:br/>
              <w:t xml:space="preserve">                  │    - Reference-Free SimPO Margin Loss        │</w:t>
              <w:br/>
              <w:t xml:space="preserve">                  │    - g-DPO Linear Candidate Pairing          │</w:t>
              <w:br/>
              <w:t xml:space="preserve">                  └──────────────────────────────────────────────┘</w:t>
            </w:r>
          </w:p>
        </w:tc>
      </w:tr>
    </w:tbl>
    <w:p/>
    <w:p>
      <w:pPr>
        <w:jc w:val="both"/>
      </w:pPr>
      <w:r>
        <w:t xml:space="preserve">The sequence policies derived from preference alignment are passed to the accelerated folding engine. During structure generation, </w:t>
      </w:r>
      <w:r>
        <w:rPr>
          <w:rFonts w:ascii="Courier New" w:hAnsi="Courier New"/>
          <w:sz w:val="19"/>
          <w:shd w:fill="f7fafc"/>
        </w:rPr>
        <w:t>AtomDiffusion</w:t>
      </w:r>
      <w:r>
        <w:t xml:space="preserve"> resolves the trajectory in a single-pass using the CFG-distilled student model, and applies the neural coordinate refiner to ensure physical structural validity.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3. MAJOR TECHNICAL SPECIFICATIONS &amp; BENCHMARKS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1: Computational Complexity &amp; Scaling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Component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Standard Baseline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Implemented Optimization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Time Complexity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Memory / VRAM Scaling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Inference Integration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Outer ODE Solver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Speculative Sampler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O(N) vs. O(N/K)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O(1) vs. O(K)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Pair Representation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Quadratic OPM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Low-Rank Pair Updater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O(N² · D)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O(N² · r)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Guidance Sampling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Double-Pass CFG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CFG Distillation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O(2 · Steps)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O(Steps)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Coordinate Quality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Raw Diffusion Output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Neural Refiner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O(1)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O(1)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Sequence Parallelism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Monolithic Attention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Fold-CP Sequence Parallel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O(N²) vs. O(N²/P)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O(N²) vs. O(N²/P)</w:t>
            </w:r>
          </w:p>
        </w:tc>
      </w:tr>
    </w:tbl>
    <w:p/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2: Speculative Flow Matching Grid Sweep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Lookahead (K)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Tolerance (epsilon)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Evals (Target)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Accept Rate (%)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Speedup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Coordinate L2 Err</w:t>
            </w:r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0.001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0.34x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m:oMath>
              <m:r>
                <m:t>2.64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2.00x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m:oMath>
              <m:r>
                <m:t>5.60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3.85x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m:oMath>
              <m:r>
                <m:t>8.27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7.14x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m:oMath>
              <m:r>
                <m:t>9.60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</w:tbl>
    <w:p/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3: Low-Rank Pair Representation Performance Scaling (Rank r=16, D_pair=128)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Sequence Length (N)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Full-Rank VRAM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Low-Rank VRAM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VRAM Saving Factor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Full-Rank Latency (F/B)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Low-Rank Latency (F/B)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Relative MSE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1.25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0.01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104x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1.0 / 2.2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0.7 / 2.2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84.07%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30.64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0.06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510x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7.6 / 32.6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11.1 / 34.0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89.10%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122.31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0.12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1002x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29.3 / 147.1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63.5 / 138.6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92.98%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1500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275.02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0.18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1502x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112.1 / 307.1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144.3 / 253.6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89.61%</w:t>
            </w:r>
          </w:p>
        </w:tc>
      </w:tr>
    </w:tbl>
    <w:p/>
    <w:p>
      <w:pPr>
        <w:jc w:val="both"/>
      </w:pPr>
      <w:r>
        <w:rPr>
          <w:b/>
        </w:rPr>
        <w:t>Reading Table 3 correctly.</w:t>
      </w:r>
      <w:r>
        <w:t xml:space="preserve"> The final column is not a rounding error: at</w:t>
      </w:r>
    </w:p>
    <w:p>
      <w:pPr>
        <w:jc w:val="both"/>
      </w:pPr>
      <w:r>
        <w:t>rank 16 the low-rank path reproduces roughly a tenth of the full-rank output.</w:t>
      </w:r>
    </w:p>
    <w:p>
      <w:pPr>
        <w:jc w:val="both"/>
      </w:pPr>
      <w:r>
        <w:t>The memory column and the error column describe the same configuration, so the</w:t>
      </w:r>
    </w:p>
    <w:p>
      <w:pPr>
        <w:jc w:val="both"/>
      </w:pPr>
      <w:r>
        <w:t xml:space="preserve">saving factor is only meaningful for a network </w:t>
      </w:r>
      <w:r>
        <w:rPr>
          <w:i/>
        </w:rPr>
        <w:t>trained</w:t>
      </w:r>
      <w:r>
        <w:t xml:space="preserve"> with the low-rank layer</w:t>
      </w:r>
    </w:p>
    <w:p>
      <w:pPr>
        <w:jc w:val="both"/>
      </w:pPr>
      <w:r>
        <w:t>in place, where the layer defines the function rather than approximating an</w:t>
      </w:r>
    </w:p>
    <w:p>
      <w:pPr>
        <w:jc w:val="both"/>
      </w:pPr>
      <w:r>
        <w:t>existing one. Randomly initialised operands make the two paths trivially</w:t>
      </w:r>
    </w:p>
    <w:p>
      <w:pPr>
        <w:jc w:val="both"/>
      </w:pPr>
      <w:r>
        <w:t>separable, which is why this table is reported as a scaling measurement and not</w:t>
      </w:r>
    </w:p>
    <w:p>
      <w:pPr>
        <w:jc w:val="both"/>
      </w:pPr>
      <w:r>
        <w:t>as a drop-in substitution result. Section 6.1 measures what happens when the</w:t>
      </w:r>
    </w:p>
    <w:p>
      <w:pPr>
        <w:jc w:val="both"/>
      </w:pPr>
      <w:r>
        <w:t>substitution is attempted against pretrained weights.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Dynamic Quantized Attention &amp; Block-Sparsity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Weight-Only Quantization</w:t>
      </w:r>
      <w:r>
        <w:t xml:space="preserve">: Fixed INT8 quantization retains a </w:t>
      </w:r>
      <w:r>
        <w:rPr>
          <w:b/>
        </w:rPr>
        <w:t>99.997% Cosine Similarity</w:t>
      </w:r>
      <w:r>
        <w:t xml:space="preserve"> (MSE: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FIXED INT4 achieves a </w:t>
      </w:r>
      <w:r>
        <w:rPr>
          <w:b/>
        </w:rPr>
        <w:t>99.647% Similarity</w:t>
      </w:r>
      <w:r>
        <w:t xml:space="preserve">. Mixed-precision calibration compresses weights to </w:t>
      </w:r>
      <w:r>
        <w:rPr>
          <w:b/>
        </w:rPr>
        <w:t>5.85 bits</w:t>
      </w:r>
      <w:r>
        <w:t xml:space="preserve"> average without loss of accuracy.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Gated Block-Sparse Attention</w:t>
      </w:r>
      <w:r>
        <w:t xml:space="preserve">: Straight-Through Estimator (STE) training drives sparsity from 62.9% active blocks (Epoch 1) to </w:t>
      </w:r>
      <w:r>
        <w:rPr>
          <w:b/>
        </w:rPr>
        <w:t>12.5% active blocks</w:t>
      </w:r>
      <w:r>
        <w:t xml:space="preserve"> (Epoch 50). The test reconstruction MSE is </w:t>
      </w:r>
      <w:r>
        <w:rPr>
          <w:b/>
        </w:rPr>
        <w:t>0.000639</w:t>
      </w:r>
      <w:r>
        <w:t xml:space="preserve"> against dense attention, showing high fidelity.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CoreAI Hardware Acceleration &amp; Latency</w:t>
      </w:r>
    </w:p>
    <w:p>
      <w:pPr>
        <w:jc w:val="both"/>
      </w:pPr>
      <w:r>
        <w:t>Surrogate models exported to Apple CoreAI runtimes execute dynamically on the macOS Neural Engine (ANE) without recompilation: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4: Dynamic Shape Latency Benchmarks on Apple Silicon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Binder Sequence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Binder L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Target Receptor Type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Target L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Latency (ms)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Output Coordinate Shape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Recompilation Required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Short Mutant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Small Target (Hemoglobin)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4.34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`(1, 8,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Short Mutant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Large Target (Receptor)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26.36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`(1, 8,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Insulin Monomer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Small Target (Hemoglobin)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6.31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`(1, 50,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Insulin Monomer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Large Target (Receptor)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31.29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`(1, 50,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Hemoglobin Frag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Large Target (Receptor)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36.58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`(1, 90,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No</w:t>
            </w:r>
          </w:p>
        </w:tc>
      </w:tr>
    </w:tbl>
    <w:p/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2: C-alpha Backbone 3D Coordinate Plot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one_3d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C-alpha Backbone 3D Coordinate Plot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3: Ray-Traced Protein Ribbon Model Rendering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47472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ein_structure_rendering_178154539167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Ray-Traced Protein Ribbon Rendering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4: ANE-Accelerated 3D Insulin Backbone Visualization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one_3d_insul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ANE-Accelerated 3D Insulin Backbone Visualization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4. DESIGN CONSIDERATIONS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Apple Silicon MPS Acceleration</w:t>
      </w:r>
      <w:r>
        <w:t xml:space="preserve">: pathed 16 CUDA dependencies. Developed utility functions in </w:t>
      </w:r>
      <w:r>
        <w:rPr>
          <w:rFonts w:ascii="Courier New" w:hAnsi="Courier New"/>
          <w:sz w:val="19"/>
          <w:shd w:fill="f7fafc"/>
        </w:rPr>
        <w:t>boltz/src/boltz/model/modules/utils.py</w:t>
      </w:r>
      <w:r>
        <w:t xml:space="preserve"> for device resolution: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sz w:val="19"/>
          <w:shd w:fill="f7fafc"/>
        </w:rPr>
        <w:t>autocast_device_type(device)</w:t>
      </w:r>
      <w:r>
        <w:t xml:space="preserve">: returns </w:t>
      </w:r>
      <w:r>
        <w:rPr>
          <w:rFonts w:ascii="Courier New" w:hAnsi="Courier New"/>
          <w:sz w:val="19"/>
          <w:shd w:fill="f7fafc"/>
        </w:rPr>
        <w:t>"cpu"</w:t>
      </w:r>
      <w:r>
        <w:t xml:space="preserve"> or </w:t>
      </w:r>
      <w:r>
        <w:rPr>
          <w:rFonts w:ascii="Courier New" w:hAnsi="Courier New"/>
          <w:sz w:val="19"/>
          <w:shd w:fill="f7fafc"/>
        </w:rPr>
        <w:t>"cuda"</w:t>
      </w:r>
      <w:r>
        <w:t>. Bypasses unsupported torch autocasting on MPS by falling back gracefully.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sz w:val="19"/>
          <w:shd w:fill="f7fafc"/>
        </w:rPr>
        <w:t>empty_device_cache(device)</w:t>
      </w:r>
      <w:r>
        <w:t xml:space="preserve">: dispatches cache eviction to </w:t>
      </w:r>
      <w:r>
        <w:rPr>
          <w:rFonts w:ascii="Courier New" w:hAnsi="Courier New"/>
          <w:sz w:val="19"/>
          <w:shd w:fill="f7fafc"/>
        </w:rPr>
        <w:t>torch.mps.empty_cache()</w:t>
      </w:r>
      <w:r>
        <w:t xml:space="preserve"> on MPS or </w:t>
      </w:r>
      <w:r>
        <w:rPr>
          <w:rFonts w:ascii="Courier New" w:hAnsi="Courier New"/>
          <w:sz w:val="19"/>
          <w:shd w:fill="f7fafc"/>
        </w:rPr>
        <w:t>torch.cuda.empty_cache()</w:t>
      </w:r>
      <w:r>
        <w:t xml:space="preserve"> on CUDA.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PyTorch 2.6 Serialization Workaround</w:t>
      </w:r>
      <w:r>
        <w:t xml:space="preserve">: Overrode the strict </w:t>
      </w:r>
      <w:r>
        <w:rPr>
          <w:rFonts w:ascii="Courier New" w:hAnsi="Courier New"/>
          <w:sz w:val="19"/>
          <w:shd w:fill="f7fafc"/>
        </w:rPr>
        <w:t>weights_only=True</w:t>
      </w:r>
      <w:r>
        <w:t xml:space="preserve"> checkpoint loading in PyTorch 2.6 to allow OmegaConf metadata to load properly (</w:t>
      </w:r>
      <w:r>
        <w:rPr>
          <w:rFonts w:ascii="Courier New" w:hAnsi="Courier New"/>
          <w:sz w:val="19"/>
          <w:shd w:fill="f7fafc"/>
        </w:rPr>
        <w:t>weights_only=False</w:t>
      </w:r>
      <w:r>
        <w:t xml:space="preserve"> fallback).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Biophysical Constraints</w:t>
      </w:r>
      <w:r>
        <w:t>: Added steric clash resolution and adjacent residue distance penalties (</w:t>
      </w:r>
      <m:oMath>
        <m:sSub>
          <m:e>
            <m:r>
              <m:t>C</m:t>
            </m:r>
          </m:e>
          <m:sub>
            <m:r>
              <m:t>α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bond length projection) into the coordinate updater and the neural refiner.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5. VERIFICATION &amp; TESTING (M1 &amp; M6)</w:t>
      </w:r>
    </w:p>
    <w:p>
      <w:pPr>
        <w:jc w:val="both"/>
      </w:pPr>
      <w:r>
        <w:t>A key focus of the integration phase was implementing a robust testing framework to ensure correctness and prevent regressions.</w:t>
      </w:r>
    </w:p>
    <w:p>
      <w:pPr>
        <w:jc w:val="both"/>
      </w:pPr>
      <w:r>
        <w:t xml:space="preserve">We created </w:t>
      </w:r>
      <w:r>
        <w:rPr>
          <w:rFonts w:ascii="Courier New" w:hAnsi="Courier New"/>
          <w:sz w:val="19"/>
          <w:shd w:fill="f7fafc"/>
        </w:rPr>
        <w:t>tests/test_e2e_suite.py</w:t>
      </w:r>
      <w:r>
        <w:t xml:space="preserve">, containing </w:t>
      </w:r>
      <w:r>
        <w:rPr>
          <w:b/>
        </w:rPr>
        <w:t>53 tests</w:t>
      </w:r>
      <w:r>
        <w:t xml:space="preserve"> grouped into 4 execution tiers: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1: Feature-Specific Functional Correctness (24 tests)</w:t>
      </w:r>
      <w:r>
        <w:t>: Validates individual components (Low-Rank, CFG Distilled field, Neural Refiner, MLA Cache, Speculative Sampler) against mock variables.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2: Boundary &amp; Corner Cases (20 tests)</w:t>
      </w:r>
      <w:r>
        <w:t>: Assesses edge inputs (zero guidance, negative guidance, single residue sequences, empty sequences, very large batch shapes, extremely high tolerance values).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3: Cross-Feature Integration (4 tests)</w:t>
      </w:r>
      <w:r>
        <w:t xml:space="preserve">: Tests the coupled execution of the student model, neural refiner, and speculative sampler inside the </w:t>
      </w:r>
      <w:r>
        <w:rPr>
          <w:rFonts w:ascii="Courier New" w:hAnsi="Courier New"/>
          <w:sz w:val="19"/>
          <w:shd w:fill="f7fafc"/>
        </w:rPr>
        <w:t>AtomDiffusion.sample()</w:t>
      </w:r>
      <w:r>
        <w:t xml:space="preserve"> loop.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4: Real-World Biological Validation (5 tests)</w:t>
      </w:r>
      <w:r>
        <w:t>: Verifies predictions on actual biological binders (Insulin, VEGFA) against predefined criteria.</w:t>
      </w:r>
    </w:p>
    <w:p>
      <w:pPr>
        <w:jc w:val="both"/>
      </w:pPr>
      <w:r>
        <w:t xml:space="preserve">The E2E test suite executes synchronously via </w:t>
      </w:r>
      <w:r>
        <w:rPr>
          <w:rFonts w:ascii="Courier New" w:hAnsi="Courier New"/>
          <w:sz w:val="19"/>
          <w:shd w:fill="f7fafc"/>
        </w:rPr>
        <w:t>run_e2e_tests.py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8" w:space="0" w:color="3182ce"/>
          <w:right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line="240" w:lineRule="auto" w:after="0"/>
            </w:pPr>
            <w:r>
              <w:rPr>
                <w:rFonts w:ascii="Courier New" w:hAnsi="Courier New"/>
                <w:color w:val="2D3748"/>
                <w:sz w:val="17"/>
              </w:rPr>
              <w:t>======================================================================</w:t>
              <w:br/>
              <w:t xml:space="preserve">                Executing Biomolecular Design E2E Test Suite          </w:t>
              <w:br/>
              <w:t>======================================================================</w:t>
              <w:br/>
              <w:t>...</w:t>
              <w:br/>
              <w:t>======================== 53 passed, 1 warning in 4.96s =========================</w:t>
              <w:br/>
              <w:br/>
              <w:t xml:space="preserve">          SUCCESS: All 53 test cases in the E2E suite passed!         </w:t>
              <w:br/>
              <w:t>======================================================================</w:t>
            </w:r>
          </w:p>
        </w:tc>
      </w:tr>
    </w:tbl>
    <w:p/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5.1 Subsequent Hardening of the Suite</w:t>
      </w:r>
    </w:p>
    <w:p>
      <w:pPr>
        <w:jc w:val="both"/>
      </w:pPr>
      <w:r>
        <w:t xml:space="preserve">The suite has since grown to </w:t>
      </w:r>
      <w:r>
        <w:rPr>
          <w:b/>
        </w:rPr>
        <w:t>99 tests</w:t>
      </w:r>
      <w:r>
        <w:t>, and two defects in the testing</w:t>
      </w:r>
    </w:p>
    <w:p>
      <w:pPr>
        <w:jc w:val="both"/>
      </w:pPr>
      <w:r>
        <w:t>infrastructure itself were found and corrected.</w:t>
      </w:r>
    </w:p>
    <w:p>
      <w:pPr>
        <w:jc w:val="both"/>
      </w:pPr>
      <w:r>
        <w:rPr>
          <w:b/>
        </w:rPr>
        <w:t>Continuous integration was not running the tests.</w:t>
      </w:r>
      <w:r>
        <w:t xml:space="preserve"> The CI workflow invoked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unittest discover -s tests</w:t>
      </w:r>
      <w:r>
        <w:t xml:space="preserve">, which collected </w:t>
      </w:r>
      <w:r>
        <w:rPr>
          <w:b/>
        </w:rPr>
        <w:t>zero</w:t>
      </w:r>
      <w:r>
        <w:t xml:space="preserve"> tests from a </w:t>
      </w:r>
      <w:r>
        <w:rPr>
          <w:rFonts w:ascii="Courier New" w:hAnsi="Courier New"/>
          <w:sz w:val="19"/>
          <w:shd w:fill="f7fafc"/>
        </w:rPr>
        <w:t>pytest</w:t>
      </w:r>
      <w:r>
        <w:t>-style</w:t>
      </w:r>
    </w:p>
    <w:p>
      <w:pPr>
        <w:jc w:val="both"/>
      </w:pPr>
      <w:r>
        <w:t>suite and therefore reported success unconditionally. CI now runs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python -m pytest -q</w:t>
      </w:r>
      <w:r>
        <w:t xml:space="preserve"> together with a </w:t>
      </w:r>
      <w:r>
        <w:rPr>
          <w:rFonts w:ascii="Courier New" w:hAnsi="Courier New"/>
          <w:sz w:val="19"/>
          <w:shd w:fill="f7fafc"/>
        </w:rPr>
        <w:t>ruff</w:t>
      </w:r>
      <w:r>
        <w:t xml:space="preserve"> lint gate, and test discovery is</w:t>
      </w:r>
    </w:p>
    <w:p>
      <w:pPr>
        <w:jc w:val="both"/>
      </w:pPr>
      <w:r>
        <w:t xml:space="preserve">configured centrally in </w:t>
      </w:r>
      <w:r>
        <w:rPr>
          <w:rFonts w:ascii="Courier New" w:hAnsi="Courier New"/>
          <w:sz w:val="19"/>
          <w:shd w:fill="f7fafc"/>
        </w:rPr>
        <w:t>pyproject.toml</w:t>
      </w:r>
      <w:r>
        <w:t xml:space="preserve"> rather than by </w:t>
      </w:r>
      <w:r>
        <w:rPr>
          <w:rFonts w:ascii="Courier New" w:hAnsi="Courier New"/>
          <w:sz w:val="19"/>
          <w:shd w:fill="f7fafc"/>
        </w:rPr>
        <w:t>sys.path</w:t>
      </w:r>
      <w:r>
        <w:t xml:space="preserve"> manipulation</w:t>
      </w:r>
    </w:p>
    <w:p>
      <w:pPr>
        <w:jc w:val="both"/>
      </w:pPr>
      <w:r>
        <w:t>inside twelve individual test files.</w:t>
      </w:r>
    </w:p>
    <w:p>
      <w:pPr>
        <w:jc w:val="both"/>
      </w:pPr>
      <w:r>
        <w:rPr>
          <w:b/>
        </w:rPr>
        <w:t>An audit of the assertions themselves</w:t>
      </w:r>
      <w:r>
        <w:t xml:space="preserve"> (</w:t>
      </w:r>
      <w:r>
        <w:rPr>
          <w:rFonts w:ascii="Courier New" w:hAnsi="Courier New"/>
          <w:sz w:val="19"/>
          <w:shd w:fill="f7fafc"/>
        </w:rPr>
        <w:t>TEST_AUDIT.md</w:t>
      </w:r>
      <w:r>
        <w:t>) found tests that</w:t>
      </w:r>
    </w:p>
    <w:p>
      <w:pPr>
        <w:jc w:val="both"/>
      </w:pPr>
      <w:r>
        <w:t>could not fail: assertions comparing a value to itself, RMSD thresholds loose</w:t>
      </w:r>
    </w:p>
    <w:p>
      <w:pPr>
        <w:jc w:val="both"/>
      </w:pPr>
      <w:r>
        <w:t>enough to be satisfied by random noise, and six tests that checked only output</w:t>
      </w:r>
    </w:p>
    <w:p>
      <w:pPr>
        <w:jc w:val="both"/>
      </w:pPr>
      <w:r>
        <w:t>tensor shape while asserting nothing about output values. These were tightened.</w:t>
      </w:r>
    </w:p>
    <w:p>
      <w:pPr>
        <w:jc w:val="both"/>
      </w:pPr>
      <w:r>
        <w:t>The same audit found that the lightweight surrogate predictor emits C-alpha</w:t>
      </w:r>
    </w:p>
    <w:p>
      <w:pPr>
        <w:jc w:val="both"/>
      </w:pPr>
      <w:r>
        <w:t>traces with ~0.56 Å adjacent spacing against a physical value of 3.80 Å,</w:t>
      </w:r>
    </w:p>
    <w:p>
      <w:pPr>
        <w:jc w:val="both"/>
      </w:pPr>
      <w:r>
        <w:t>recorded as a known limitation of the surrogate rather than silently corrected.</w:t>
      </w:r>
    </w:p>
    <w:p>
      <w:pPr>
        <w:jc w:val="both"/>
      </w:pPr>
      <w:r>
        <w:t>The corrections matter for the interpretation of M6: a 100% pass rate against a</w:t>
      </w:r>
    </w:p>
    <w:p>
      <w:pPr>
        <w:jc w:val="both"/>
      </w:pPr>
      <w:r>
        <w:t>suite that was partly unfailable is weaker evidence than the same rate against</w:t>
      </w:r>
    </w:p>
    <w:p>
      <w:pPr>
        <w:jc w:val="both"/>
      </w:pPr>
      <w:r>
        <w:t>the audited suite, and the latter is what the current 99 tests provide.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5: Post-Diffusion Neural Coordinate Refinement Comparison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one_3d_refin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Post-Diffusion Neural Coordinate Refinement Comparison</w:t>
      </w:r>
    </w:p>
    <w:p>
      <w:pPr>
        <w:jc w:val="both"/>
      </w:pPr>
      <w:r>
        <w:t xml:space="preserve">The coordinate refiner successfully resolved simulated clashes (Figure 5, right) and adjusted C-alpha bond lengths to </w:t>
      </w:r>
      <m:oMath>
        <m:r>
          <m:rPr>
            <m:sty m:val="p"/>
          </m:rPr>
          <m:t>≤</m:t>
        </m:r>
        <m:r>
          <m:t>1.0</m:t>
        </m:r>
      </m:oMath>
      <w:r>
        <w:t xml:space="preserve"> Å deviation from the target value.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6. MEASURED RESULTS AGAINST PRETRAINED WEIGHTS</w:t>
      </w:r>
    </w:p>
    <w:p>
      <w:pPr>
        <w:jc w:val="both"/>
      </w:pPr>
      <w:r>
        <w:t>Sections 3 and 5 report component behaviour against mock tensors. This section</w:t>
      </w:r>
    </w:p>
    <w:p>
      <w:pPr>
        <w:jc w:val="both"/>
      </w:pPr>
      <w:r>
        <w:t>reports what the components do against pretrained Boltz checkpoints and</w:t>
      </w:r>
    </w:p>
    <w:p>
      <w:pPr>
        <w:jc w:val="both"/>
      </w:pPr>
      <w:r>
        <w:t>experimentally determined structures. Two questions were pursued to a</w:t>
      </w:r>
    </w:p>
    <w:p>
      <w:pPr>
        <w:jc w:val="both"/>
      </w:pPr>
      <w:r>
        <w:t>conclusion, and both answers are negative.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6.1 The Low-Rank Pair Representation Is Not Reachable on Pretrained Weights</w:t>
      </w:r>
    </w:p>
    <w:p>
      <w:pPr>
        <w:jc w:val="both"/>
      </w:pPr>
      <w:r>
        <w:t>The low-rank OuterProductMean (OPM) is the project's strongest technical asset:</w:t>
      </w:r>
    </w:p>
    <w:p>
      <w:pPr>
        <w:jc w:val="both"/>
      </w:pPr>
      <w:r>
        <w:t>it is numerically verified against the reference implementation and</w:t>
      </w:r>
    </w:p>
    <w:p>
      <w:pPr>
        <w:jc w:val="both"/>
      </w:pPr>
      <w:r>
        <w:t>mutation-tested. Its parameters (</w:t>
      </w:r>
      <w:r>
        <w:rPr>
          <w:rFonts w:ascii="Courier New" w:hAnsi="Courier New"/>
          <w:sz w:val="19"/>
          <w:shd w:fill="f7fafc"/>
        </w:rPr>
        <w:t>low_rank_updater.W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proj_x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proj_y</w:t>
      </w:r>
      <w:r>
        <w:t>) do</w:t>
      </w:r>
    </w:p>
    <w:p>
      <w:pPr>
        <w:jc w:val="both"/>
      </w:pPr>
      <w:r>
        <w:t>not correspond to those of a stock checkpoint (</w:t>
      </w:r>
      <w:r>
        <w:rPr>
          <w:rFonts w:ascii="Courier New" w:hAnsi="Courier New"/>
          <w:sz w:val="19"/>
          <w:shd w:fill="f7fafc"/>
        </w:rPr>
        <w:t>proj_a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proj_b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proj_o</w:t>
      </w:r>
      <w:r>
        <w:t>), so</w:t>
      </w:r>
    </w:p>
    <w:p>
      <w:pPr>
        <w:jc w:val="both"/>
      </w:pPr>
      <w:r>
        <w:t>it had only ever been usable by training from scratch. Whether the ~97%</w:t>
      </w:r>
    </w:p>
    <w:p>
      <w:pPr>
        <w:jc w:val="both"/>
      </w:pPr>
      <w:r>
        <w:t>activation saving could be obtained on released weights was tested in three</w:t>
      </w:r>
    </w:p>
    <w:p>
      <w:pPr>
        <w:jc w:val="both"/>
      </w:pPr>
      <w:r>
        <w:t>experiments, each stricter than the last.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Experiment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What it measures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Held-out error @ rank 32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CP projection of weights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tensor approximation, random inputs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0.77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Fit on one target's activations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function approximation, one protein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0.43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Corpus distillation, 33 folds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function approximation, at capacity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0.378</w:t>
            </w:r>
          </w:p>
        </w:tc>
      </w:tr>
    </w:tbl>
    <w:p/>
    <w:p>
      <w:pPr>
        <w:jc w:val="both"/>
      </w:pPr>
      <w:r>
        <w:t>Each step was a genuine improvement, and the first two were initially stated</w:t>
      </w:r>
    </w:p>
    <w:p>
      <w:pPr>
        <w:jc w:val="both"/>
      </w:pPr>
      <w:r>
        <w:t>more strongly than the evidence supported: the CP result measured the weight</w:t>
      </w:r>
    </w:p>
    <w:p>
      <w:pPr>
        <w:jc w:val="both"/>
      </w:pPr>
      <w:r>
        <w:t xml:space="preserve">tensor under </w:t>
      </w:r>
      <w:r>
        <w:rPr>
          <w:rFonts w:ascii="Courier New" w:hAnsi="Courier New"/>
          <w:sz w:val="19"/>
          <w:shd w:fill="f7fafc"/>
        </w:rPr>
        <w:t>torch.randn</w:t>
      </w:r>
      <w:r>
        <w:t xml:space="preserve"> inputs, and the single-target fit measured the</w:t>
      </w:r>
    </w:p>
    <w:p>
      <w:pPr>
        <w:jc w:val="both"/>
      </w:pPr>
      <w:r>
        <w:t>function on one protein only.</w:t>
      </w:r>
    </w:p>
    <w:p>
      <w:pPr>
        <w:jc w:val="both"/>
      </w:pPr>
      <w:r>
        <w:rPr>
          <w:b/>
        </w:rPr>
        <w:t>What settles the question is that train and held-out error coincide</w:t>
      </w:r>
    </w:p>
    <w:p>
      <w:pPr>
        <w:jc w:val="both"/>
      </w:pPr>
      <w:r>
        <w:t>(0.375 / 0.378 at rank 32, against a 0.08 gap for the single-target fit). The</w:t>
      </w:r>
    </w:p>
    <w:p>
      <w:pPr>
        <w:jc w:val="both"/>
      </w:pPr>
      <w:r>
        <w:t>factors genuinely are shared across receptors rather than memorised, so</w:t>
      </w:r>
    </w:p>
    <w:p>
      <w:pPr>
        <w:jc w:val="both"/>
      </w:pPr>
      <w:r>
        <w:t>generalisation is solved — but coincident train and held-out error is the</w:t>
      </w:r>
    </w:p>
    <w:p>
      <w:pPr>
        <w:jc w:val="both"/>
      </w:pPr>
      <w:r>
        <w:t>signature of a model at capacity, and more folding data will not lower the</w:t>
      </w:r>
    </w:p>
    <w:p>
      <w:pPr>
        <w:jc w:val="both"/>
      </w:pPr>
      <w:r>
        <w:t>floor.</w:t>
      </w:r>
    </w:p>
    <w:p>
      <w:pPr>
        <w:jc w:val="both"/>
      </w:pPr>
      <w:r>
        <w:rPr>
          <w:b/>
        </w:rPr>
        <w:t>Rank cannot recover the fidelity.</w:t>
      </w:r>
      <w:r>
        <w:t xml:space="preserve"> Fitting </w:t>
      </w:r>
      <w:r>
        <w:rPr>
          <w:rFonts w:ascii="Courier New" w:hAnsi="Courier New"/>
          <w:sz w:val="19"/>
          <w:shd w:fill="f7fafc"/>
        </w:rPr>
        <w:t>err = a·rank^b</w:t>
      </w:r>
      <w:r>
        <w:t xml:space="preserve"> to held-out</w:t>
      </w:r>
    </w:p>
    <w:p>
      <w:pPr>
        <w:jc w:val="both"/>
      </w:pPr>
      <w:r>
        <w:t xml:space="preserve">points gives </w:t>
      </w:r>
      <w:r>
        <w:rPr>
          <w:rFonts w:ascii="Courier New" w:hAnsi="Courier New"/>
          <w:sz w:val="19"/>
          <w:shd w:fill="f7fafc"/>
        </w:rPr>
        <w:t>1.32·rank^−0.356</w:t>
      </w:r>
      <w:r>
        <w:t xml:space="preserve"> and </w:t>
      </w:r>
      <w:r>
        <w:rPr>
          <w:rFonts w:ascii="Courier New" w:hAnsi="Courier New"/>
          <w:sz w:val="19"/>
          <w:shd w:fill="f7fafc"/>
        </w:rPr>
        <w:t>1.75·rank^−0.312</w:t>
      </w:r>
      <w:r>
        <w:t xml:space="preserve"> for the two layers.</w:t>
      </w:r>
    </w:p>
    <w:p>
      <w:pPr>
        <w:jc w:val="both"/>
      </w:pPr>
      <w:r>
        <w:t>Reaching 10% error requires rank ≈ 1,414 and ≈ 9,750 respectively, against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c_hidden² = 1024</w:t>
      </w:r>
      <w:r>
        <w:t xml:space="preserve"> — the width the stock implementation actually materialises.</w:t>
      </w:r>
    </w:p>
    <w:p>
      <w:pPr>
        <w:jc w:val="both"/>
      </w:pPr>
      <w:r>
        <w:rPr>
          <w:b/>
        </w:rPr>
      </w:r>
      <w:r>
        <w:t>The low-rank form therefore costs more activation memory than stock before it</w:t>
      </w:r>
    </w:p>
    <w:p>
      <w:pPr>
        <w:jc w:val="both"/>
      </w:pPr>
      <w:r>
        <w:t>becomes accurate enough to substitute.</w:t>
      </w:r>
      <w:r>
        <w:rPr>
          <w:b/>
        </w:rPr>
      </w:r>
      <w:r>
        <w:t xml:space="preserve"> The usable regime is 23–38% per-layer</w:t>
      </w:r>
    </w:p>
    <w:p>
      <w:pPr>
        <w:jc w:val="both"/>
      </w:pPr>
      <w:r>
        <w:t>error at 3–13% of stock activations: a large saving at an error that compounds</w:t>
      </w:r>
    </w:p>
    <w:p>
      <w:pPr>
        <w:jc w:val="both"/>
      </w:pPr>
      <w:r>
        <w:t>across the MSA stack.</w:t>
      </w:r>
    </w:p>
    <w:p>
      <w:pPr>
        <w:jc w:val="both"/>
      </w:pPr>
      <w:r>
        <w:t>Controls confirm the negative is a property of the weights rather than of the</w:t>
      </w:r>
    </w:p>
    <w:p>
      <w:pPr>
        <w:jc w:val="both"/>
      </w:pPr>
      <w:r>
        <w:t>solver: an exactly-rank-32 tensor decomposes to 0.00000 error, a random dense</w:t>
      </w:r>
    </w:p>
    <w:p>
      <w:pPr>
        <w:jc w:val="both"/>
      </w:pPr>
      <w:r>
        <w:t>tensor to 0.947, and the trained tensor to 0.831 — only marginally more</w:t>
      </w:r>
    </w:p>
    <w:p>
      <w:pPr>
        <w:jc w:val="both"/>
      </w:pPr>
      <w:r>
        <w:t>compressible than noise.</w:t>
      </w:r>
    </w:p>
    <w:p>
      <w:pPr>
        <w:jc w:val="both"/>
      </w:pPr>
      <w:r>
        <w:rPr>
          <w:b/>
        </w:rPr>
        <w:t>Consequence for M3.</w:t>
      </w:r>
      <w:r>
        <w:t xml:space="preserve"> The 1502x figure in Table 3 stands as a scaling</w:t>
      </w:r>
    </w:p>
    <w:p>
      <w:pPr>
        <w:jc w:val="both"/>
      </w:pPr>
      <w:r>
        <w:t>measurement for a network trained around the low-rank layer. Obtaining it on</w:t>
      </w:r>
    </w:p>
    <w:p>
      <w:pPr>
        <w:jc w:val="both"/>
      </w:pPr>
      <w:r>
        <w:t>pretrained weights would require retraining the full model — a frontier-scale</w:t>
      </w:r>
    </w:p>
    <w:p>
      <w:pPr>
        <w:jc w:val="both"/>
      </w:pPr>
      <w:r>
        <w:t xml:space="preserve">run outside the scope of this dissertation. The </w:t>
      </w:r>
      <w:r>
        <w:rPr>
          <w:rFonts w:ascii="Courier New" w:hAnsi="Courier New"/>
          <w:sz w:val="19"/>
          <w:shd w:fill="f7fafc"/>
        </w:rPr>
        <w:t>BOLTZMAC_OPM</w:t>
      </w:r>
      <w:r>
        <w:t xml:space="preserve"> environment</w:t>
      </w:r>
    </w:p>
    <w:p>
      <w:pPr>
        <w:jc w:val="both"/>
      </w:pPr>
      <w:r>
        <w:t>toggle keeps both implementations selectable so the layer remains available for</w:t>
      </w:r>
    </w:p>
    <w:p>
      <w:pPr>
        <w:jc w:val="both"/>
      </w:pPr>
      <w:r>
        <w:t>that work.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6.2 Interface Confidence Does Not Rank Peptide Binders</w:t>
      </w:r>
    </w:p>
    <w:p>
      <w:pPr>
        <w:jc w:val="both"/>
      </w:pPr>
      <w:r>
        <w:t>The binder design objective requires a scoring signal to rank candidates.</w:t>
      </w:r>
    </w:p>
    <w:p>
      <w:pPr>
        <w:jc w:val="both"/>
      </w:pPr>
      <w:r>
        <w:t>Boltz's interface confidence (ipTM) was evaluated as that reference against</w:t>
      </w:r>
    </w:p>
    <w:p>
      <w:pPr>
        <w:jc w:val="both"/>
      </w:pPr>
      <w:r>
        <w:rPr>
          <w:b/>
        </w:rPr>
        <w:t>11 experimentally determined peptide–domain complexes</w:t>
      </w:r>
      <w:r>
        <w:t xml:space="preserve"> from the PDB</w:t>
      </w:r>
    </w:p>
    <w:p>
      <w:pPr>
        <w:jc w:val="both"/>
      </w:pPr>
      <w:r>
        <w:t>(MDM2/p53, SH3/proline-rich, PDZ/C-terminal and others; sequences fetched</w:t>
      </w:r>
    </w:p>
    <w:p>
      <w:pPr>
        <w:jc w:val="both"/>
      </w:pPr>
      <w:r>
        <w:t>programmatically from RCSB, never transcribed). Three classes were folded</w:t>
      </w:r>
    </w:p>
    <w:p>
      <w:pPr>
        <w:jc w:val="both"/>
      </w:pPr>
      <w:r>
        <w:t xml:space="preserve">identically: </w:t>
      </w:r>
      <w:r>
        <w:rPr>
          <w:b/>
        </w:rPr>
        <w:t>cognate</w:t>
      </w:r>
      <w:r>
        <w:t xml:space="preserve"> (receptor with its own peptide), </w:t>
      </w:r>
      <w:r>
        <w:rPr>
          <w:b/>
        </w:rPr>
        <w:t>decoy</w:t>
      </w:r>
      <w:r>
        <w:t xml:space="preserve"> (receptor</w:t>
      </w:r>
    </w:p>
    <w:p>
      <w:pPr>
        <w:jc w:val="both"/>
      </w:pPr>
      <w:r>
        <w:t>with a genuine peptide from a different complex — the strongest negative, since</w:t>
      </w:r>
    </w:p>
    <w:p>
      <w:pPr>
        <w:jc w:val="both"/>
      </w:pPr>
      <w:r>
        <w:t xml:space="preserve">screening is exactly this discrimination), and </w:t>
      </w:r>
      <w:r>
        <w:rPr>
          <w:b/>
        </w:rPr>
        <w:t>scrambled</w:t>
      </w:r>
      <w:r>
        <w:t xml:space="preserve"> (own peptide,</w:t>
      </w:r>
    </w:p>
    <w:p>
      <w:pPr>
        <w:jc w:val="both"/>
      </w:pPr>
      <w:r>
        <w:t>order destroyed).</w:t>
      </w:r>
    </w:p>
    <w:p>
      <w:pPr>
        <w:jc w:val="both"/>
      </w:pPr>
      <w:r>
        <w:t xml:space="preserve">ipTM has </w:t>
      </w:r>
      <w:r>
        <w:rPr>
          <w:b/>
        </w:rPr>
        <w:t>sensitivity</w:t>
      </w:r>
      <w:r>
        <w:t>: real complexes score far above the synthetic peptides</w:t>
      </w:r>
    </w:p>
    <w:p>
      <w:pPr>
        <w:jc w:val="both"/>
      </w:pPr>
      <w:r>
        <w:t>used in earlier runs (0.1915 vs 0.0905, AUC 0.881, p = 1e-5). It does not have</w:t>
      </w:r>
    </w:p>
    <w:p>
      <w:pPr>
        <w:jc w:val="both"/>
      </w:pPr>
      <w:r>
        <w:rPr>
          <w:b/>
        </w:rPr>
        <w:t>specificity</w:t>
      </w:r>
      <w:r>
        <w:t>. Ranking each receptor's own candidates against one another —</w:t>
      </w:r>
    </w:p>
    <w:p>
      <w:pPr>
        <w:jc w:val="both"/>
      </w:pPr>
      <w:r>
        <w:t>which is what screening does — is at chance: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8" w:space="0" w:color="3182ce"/>
          <w:right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line="240" w:lineRule="auto" w:after="0"/>
            </w:pPr>
            <w:r>
              <w:rPr>
                <w:rFonts w:ascii="Courier New" w:hAnsi="Courier New"/>
                <w:color w:val="2D3748"/>
                <w:sz w:val="17"/>
              </w:rPr>
              <w:t>cognate ranked #1 for 2/11 receptors    (chance = 1.8)</w:t>
              <w:br/>
              <w:t>mean rank 3.27 of 6                     (chance = 3.50)</w:t>
              <w:br/>
              <w:t>Wilcoxon vs chance:  p = 0.746</w:t>
            </w:r>
          </w:p>
        </w:tc>
      </w:tr>
    </w:tbl>
    <w:p/>
    <w:p>
      <w:pPr>
        <w:jc w:val="both"/>
      </w:pPr>
      <w:r>
        <w:t>A surrogate distilled from a reference that cannot rank binders cannot rank them</w:t>
      </w:r>
    </w:p>
    <w:p>
      <w:pPr>
        <w:jc w:val="both"/>
      </w:pPr>
      <w:r>
        <w:t>either, and this was confirmed directly: on n = 85 held-out complexes the</w:t>
      </w:r>
    </w:p>
    <w:p>
      <w:pPr>
        <w:jc w:val="both"/>
      </w:pPr>
      <w:r>
        <w:t xml:space="preserve">distilled surrogate achieved Spearman ρ = −0.034, while a </w:t>
      </w:r>
      <w:r>
        <w:rPr>
          <w:b/>
        </w:rPr>
      </w:r>
      <w:r>
        <w:t>ridge regression on</w:t>
      </w:r>
    </w:p>
    <w:p>
      <w:pPr>
        <w:jc w:val="both"/>
      </w:pPr>
      <w:r>
        <w:t>additive amino-acid composition scored +0.103</w:t>
      </w:r>
      <w:r>
        <w:rPr>
          <w:b/>
        </w:rPr>
      </w:r>
      <w:r>
        <w:t xml:space="preserve"> (z = 3.44 against the neural</w:t>
      </w:r>
    </w:p>
    <w:p>
      <w:pPr>
        <w:jc w:val="both"/>
      </w:pPr>
      <w:r>
        <w:t>model). An earlier ρ = +0.308 at n = 13 did not survive the larger sample and is</w:t>
      </w:r>
    </w:p>
    <w:p>
      <w:pPr>
        <w:jc w:val="both"/>
      </w:pPr>
      <w:r>
        <w:t>recorded here as a sampling artefact rather than as a result.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6.3 Boltz-2 Comparison and a Correction to the Benchmark</w:t>
      </w:r>
    </w:p>
    <w:p>
      <w:pPr>
        <w:jc w:val="both"/>
      </w:pPr>
      <w:r>
        <w:t>The natural objection is that Section 6.2 indicts Boltz-1 rather than ipTM. The</w:t>
      </w:r>
    </w:p>
    <w:p>
      <w:pPr>
        <w:jc w:val="both"/>
      </w:pPr>
      <w:r>
        <w:t>identical 66 pairs were therefore re-folded under Boltz-2 with identical seeds</w:t>
      </w:r>
    </w:p>
    <w:p>
      <w:pPr>
        <w:jc w:val="both"/>
      </w:pPr>
      <w:r>
        <w:t>and byte-identical cached alignments, leaving the checkpoint as the only</w:t>
      </w:r>
    </w:p>
    <w:p>
      <w:pPr>
        <w:jc w:val="both"/>
      </w:pPr>
      <w:r>
        <w:t>variable. Every score rises by roughly 2.8x, and the classes rise together: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cognate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decoy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scrambled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Boltz-1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0.1915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0.1684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0.1758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Boltz-2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0.5355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0.4556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0.4662</w:t>
            </w:r>
          </w:p>
        </w:tc>
      </w:tr>
    </w:tbl>
    <w:p/>
    <w:p>
      <w:pPr>
        <w:jc w:val="both"/>
      </w:pPr>
      <w:r>
        <w:t>Boltz-2 improves the screening metric in every direction — cognate first for</w:t>
      </w:r>
    </w:p>
    <w:p>
      <w:pPr>
        <w:jc w:val="both"/>
      </w:pPr>
      <w:r>
        <w:t>3/11 receptors, mean rank 2.55 of 6 — but does not establish specificity at</w:t>
      </w:r>
    </w:p>
    <w:p>
      <w:pPr>
        <w:jc w:val="both"/>
      </w:pPr>
      <w:r>
        <w:t>n = 11 (Wilcoxon p = 0.094 two-sided; bootstrap 95% CI on the mean rank</w:t>
      </w:r>
    </w:p>
    <w:p>
      <w:pPr>
        <w:jc w:val="both"/>
      </w:pPr>
      <w:r>
        <w:t>[1.36, 2.55] contains chance). The paired improvement over Boltz-1 is +0.45</w:t>
      </w:r>
    </w:p>
    <w:p>
      <w:pPr>
        <w:jc w:val="both"/>
      </w:pPr>
      <w:r>
        <w:t>ranks with 95% CI [−0.36, +1.18], which contains zero.</w:t>
      </w:r>
    </w:p>
    <w:p>
      <w:pPr>
        <w:jc w:val="both"/>
      </w:pPr>
      <w:r>
        <w:t>A pooled cognate-versus-decoy test appears to pass (AUC 0.689, p = 0.033) and is</w:t>
      </w:r>
    </w:p>
    <w:p>
      <w:pPr>
        <w:jc w:val="both"/>
      </w:pPr>
      <w:r>
        <w:rPr>
          <w:b/>
        </w:rPr>
        <w:t>not</w:t>
      </w:r>
      <w:r>
        <w:t xml:space="preserve"> relied upon: it is confounded by receptor identity, and it is</w:t>
      </w:r>
    </w:p>
    <w:p>
      <w:pPr>
        <w:jc w:val="both"/>
      </w:pPr>
      <w:r>
        <w:t xml:space="preserve">inconsistent with the observation that </w:t>
      </w:r>
      <w:r>
        <w:rPr>
          <w:b/>
        </w:rPr>
      </w:r>
      <w:r>
        <w:t>decoys and scrambles are</w:t>
      </w:r>
    </w:p>
    <w:p>
      <w:pPr>
        <w:jc w:val="both"/>
      </w:pPr>
      <w:r>
        <w:t>indistinguishable under Boltz-2 (AUC 0.501, p = 0.993)</w:t>
      </w:r>
      <w:r>
        <w:rPr>
          <w:b/>
        </w:rPr>
      </w:r>
      <w:r>
        <w:t>. A signal that cannot</w:t>
      </w:r>
    </w:p>
    <w:p>
      <w:pPr>
        <w:jc w:val="both"/>
      </w:pPr>
      <w:r>
        <w:t>separate a genuine binder from a sequence-order scramble is not recognising</w:t>
      </w:r>
    </w:p>
    <w:p>
      <w:pPr>
        <w:jc w:val="both"/>
      </w:pPr>
      <w:r>
        <w:t>binders.</w:t>
      </w:r>
    </w:p>
    <w:p>
      <w:pPr>
        <w:jc w:val="both"/>
      </w:pPr>
      <w:r>
        <w:rPr>
          <w:b/>
        </w:rPr>
        <w:t>A labelling defect was found and corrected.</w:t>
      </w:r>
      <w:r>
        <w:t xml:space="preserve"> RCSB's FASTA endpoint returns</w:t>
      </w:r>
    </w:p>
    <w:p>
      <w:pPr>
        <w:jc w:val="both"/>
      </w:pPr>
      <w:r>
        <w:rPr>
          <w:i/>
        </w:rPr>
        <w:t>canonical</w:t>
      </w:r>
      <w:r>
        <w:t xml:space="preserve"> sequence, so phosphoserine reads as S, phosphotyrosine as Y and</w:t>
      </w:r>
    </w:p>
    <w:p>
      <w:pPr>
        <w:jc w:val="both"/>
      </w:pPr>
      <w:r>
        <w:t xml:space="preserve">acetyl-lysine as K. For complexes whose interaction </w:t>
      </w:r>
      <w:r>
        <w:rPr>
          <w:i/>
        </w:rPr>
        <w:t>is</w:t>
      </w:r>
      <w:r>
        <w:t xml:space="preserve"> the modification — an</w:t>
      </w:r>
    </w:p>
    <w:p>
      <w:pPr>
        <w:jc w:val="both"/>
      </w:pPr>
      <w:r>
        <w:t>SH2 domain reading phosphotyrosine, a bromodomain reading acetyl-lysine — the</w:t>
      </w:r>
    </w:p>
    <w:p>
      <w:pPr>
        <w:jc w:val="both"/>
      </w:pPr>
      <w:r>
        <w:t>folded "cognate" pair is not binding-competent, making it a mislabelled</w:t>
      </w:r>
    </w:p>
    <w:p>
      <w:pPr>
        <w:jc w:val="both"/>
      </w:pPr>
      <w:r>
        <w:t xml:space="preserve">positive. An audit against </w:t>
      </w:r>
      <w:r>
        <w:rPr>
          <w:rFonts w:ascii="Courier New" w:hAnsi="Courier New"/>
          <w:sz w:val="19"/>
          <w:shd w:fill="f7fafc"/>
        </w:rPr>
        <w:t>entity_poly.pdbx_seq_one_letter_code</w:t>
      </w:r>
      <w:r>
        <w:t>, which</w:t>
      </w:r>
    </w:p>
    <w:p>
      <w:pPr>
        <w:jc w:val="both"/>
      </w:pPr>
      <w:r>
        <w:t xml:space="preserve">preserves modified residues, found </w:t>
      </w:r>
      <w:r>
        <w:rPr>
          <w:b/>
        </w:rPr>
      </w:r>
      <w:r>
        <w:t>7 of 25 candidate receptors PTM-dependent,</w:t>
      </w:r>
    </w:p>
    <w:p>
      <w:pPr>
        <w:jc w:val="both"/>
      </w:pPr>
      <w:r>
        <w:t>including 1I8H from the original panel</w:t>
      </w:r>
      <w:r>
        <w:rPr>
          <w:b/>
        </w:rPr>
      </w:r>
      <w:r>
        <w:t xml:space="preserve"> — precisely the receptor whose true</w:t>
      </w:r>
    </w:p>
    <w:p>
      <w:pPr>
        <w:jc w:val="both"/>
      </w:pPr>
      <w:r>
        <w:t>binder ranked last of six under Boltz-1. Ranking a non-binder last is correct</w:t>
      </w:r>
    </w:p>
    <w:p>
      <w:pPr>
        <w:jc w:val="both"/>
      </w:pPr>
      <w:r>
        <w:t>behaviour, not a failure of the metric.</w:t>
      </w:r>
    </w:p>
    <w:p>
      <w:pPr>
        <w:jc w:val="both"/>
      </w:pPr>
      <w:r>
        <w:t>Re-analysis without 1I8H does not change any conclusion (Boltz-1 p 0.790 →</w:t>
      </w:r>
    </w:p>
    <w:p>
      <w:pPr>
        <w:jc w:val="both"/>
      </w:pPr>
      <w:r>
        <w:t>0.463; Boltz-2 p 0.094 → 0.131, both still non-significant), so this corrects</w:t>
      </w:r>
    </w:p>
    <w:p>
      <w:pPr>
        <w:jc w:val="both"/>
      </w:pPr>
      <w:r>
        <w:t>the method rather than the result.</w:t>
      </w:r>
    </w:p>
    <w:p>
      <w:pPr>
        <w:jc w:val="both"/>
      </w:pPr>
      <w:r>
        <w:rPr>
          <w:b/>
        </w:rPr>
        <w:t>A powered run is in progress.</w:t>
      </w:r>
      <w:r>
        <w:t xml:space="preserve"> The n = 11 result is underpowered rather than</w:t>
      </w:r>
    </w:p>
    <w:p>
      <w:pPr>
        <w:jc w:val="both"/>
      </w:pPr>
      <w:r>
        <w:t xml:space="preserve">decisive: 80% power on the specificity test requires </w:t>
      </w:r>
      <w:r>
        <w:rPr>
          <w:b/>
        </w:rPr>
        <w:t>21 receptors</w:t>
      </w:r>
    </w:p>
    <w:p>
      <w:pPr>
        <w:jc w:val="both"/>
      </w:pPr>
      <w:r>
        <w:t>(dz = 0.57), and 74 would be needed to separate Boltz-2 from Boltz-1</w:t>
      </w:r>
    </w:p>
    <w:p>
      <w:pPr>
        <w:jc w:val="both"/>
      </w:pPr>
      <w:r>
        <w:t xml:space="preserve">(dz = 0.33). A PTM-clean, tag-free, peptide-deduplicated panel of </w:t>
      </w:r>
      <w:r>
        <w:rPr>
          <w:b/>
        </w:rPr>
      </w:r>
      <w:r>
        <w:t>22</w:t>
      </w:r>
    </w:p>
    <w:p>
      <w:pPr>
        <w:jc w:val="both"/>
      </w:pPr>
      <w:r>
        <w:t>receptors (132 complexes)</w:t>
      </w:r>
      <w:r>
        <w:rPr>
          <w:b/>
        </w:rPr>
      </w:r>
      <w:r>
        <w:t xml:space="preserve"> was assembled programmatically and is currently</w:t>
      </w:r>
    </w:p>
    <w:p>
      <w:pPr>
        <w:jc w:val="both"/>
      </w:pPr>
      <w:r>
        <w:t>folding; its outcome will be reported in the final dissertation.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7. FUTURE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Sl No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Phases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Start Date - End Date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Work to be done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Status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Dissertation Outline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05 Jan 2026 – 04 Feb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Literature review and prepare outline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Local Design &amp; Implementation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05 Feb 2026 – 20 Mar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Develop MLA, Fold-CP, SpecSampler, and g-DPO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Pre-trained Weight Verification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21 Mar 2026 – 10 Jun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Run local predictions with Boltz-1 parameters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Edge Optimization &amp; Integration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11 Jun 2026 – 22 Jun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Integrate Low-Rank, CFG student, and Neural Refiner; resolve MPS dependencies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Reference &amp; Surrogate Validation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23 Jun 2026 – 31 Jul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Measure ipTM as a ranking reference against PDB complexes; distil and evaluate the surrogate; establish the low-rank OPM reachability result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Production GPU Scaling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01 Aug 2026 – 20 Aug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Deploy on CUDA and run NCCL scale tests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Powered Specificity Run &amp; Thesis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01 Aug 2026 – 28 Aug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 the 22-receptor Boltz-2 benchmark; write final thesis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IN PROGRESS</w:t>
            </w:r>
          </w:p>
        </w:tc>
      </w:tr>
    </w:tbl>
    <w:p/>
    <w:p>
      <w:pPr>
        <w:jc w:val="both"/>
      </w:pPr>
      <w:r>
        <w:rPr>
          <w:b/>
        </w:rPr>
        <w:t>Change of plan, and why.</w:t>
      </w:r>
      <w:r>
        <w:t xml:space="preserve"> The original phase 5 (CUDA/NCCL scaling) was</w:t>
      </w:r>
    </w:p>
    <w:p>
      <w:pPr>
        <w:jc w:val="both"/>
      </w:pPr>
      <w:r>
        <w:t>deferred in favour of validating the scoring reference, because the binder</w:t>
      </w:r>
    </w:p>
    <w:p>
      <w:pPr>
        <w:jc w:val="both"/>
      </w:pPr>
      <w:r>
        <w:t>screen planned for phase 6 depends on it: a screen ranked by a signal that does</w:t>
      </w:r>
    </w:p>
    <w:p>
      <w:pPr>
        <w:jc w:val="both"/>
      </w:pPr>
      <w:r>
        <w:t>not discriminate binders would produce candidates with no meaning regardless of</w:t>
      </w:r>
    </w:p>
    <w:p>
      <w:pPr>
        <w:jc w:val="both"/>
      </w:pPr>
      <w:r>
        <w:t>how fast it ran. That validation (Section 6.2) showed the dependency does not</w:t>
      </w:r>
    </w:p>
    <w:p>
      <w:pPr>
        <w:jc w:val="both"/>
      </w:pPr>
      <w:r>
        <w:t>hold, which is why the remaining plan prioritises the powered specificity run</w:t>
      </w:r>
    </w:p>
    <w:p>
      <w:pPr>
        <w:jc w:val="both"/>
      </w:pPr>
      <w:r>
        <w:t>over the TNF-alpha screen. Scaling work remains valuable for throughput but no</w:t>
      </w:r>
    </w:p>
    <w:p>
      <w:pPr>
        <w:jc w:val="both"/>
      </w:pPr>
      <w:r>
        <w:t>longer sits on the critical path to a defensible result.</w:t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8. ABBREVIATIONS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514"/>
        <w:gridCol w:w="4514"/>
      </w:tblGrid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Abbreviation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Full Form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MLA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Multi-Head Latent Attention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Fold-CP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Folding Context Parallelism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TMU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Triangular Multiplication Unit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OPM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Outer Product Mean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CFG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Classifier-Free Guidance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MLP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Multi-Layer Perceptron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ANE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Apple Neural Engine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MPS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Metal Performance Shaders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VRAM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Video Random Access Memory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PDB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Protein Data Bank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CIF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Crystallographic Information File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ODE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Ordinary Differential Equation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pLDDT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Predicted Local Distance Difference Test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TM-score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Template Modeling Score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RMSD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Root Mean Square Deviation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OOM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Out Of Memory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ipTM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Interface Predicted TM-score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Multiple Sequence Alignment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CANDECOMP/PARAFAC tensor decomposition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ALS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Alternating Least Squares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PTM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Post-Translational Modification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AUC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Area Under the ROC Curve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Confidence Interval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RCSB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Research Collaboratory for Structural Bioinformatics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