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June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</w:t>
      </w:r>
    </w:p>
    <w:p>
      <w:pPr>
        <w:jc w:val="both"/>
      </w:pPr>
      <w:r>
        <w:t xml:space="preserve">This dissertation addresses the high computational cost, GPU latency, and memory footprint of generating large-scale, all-atom biomolecular binders. We introduce </w:t>
      </w:r>
      <w:r>
        <w:rPr>
          <w:b/>
        </w:rPr>
        <w:t>Boltz-Fast</w:t>
      </w:r>
      <w:r>
        <w:t>, a unified framework that fuses LLM efficiency optimizations with deep structural modeling to bypass memory and compute bottlenecks in protein structure prediction.</w:t>
      </w:r>
    </w:p>
    <w:p>
      <w:pPr>
        <w:jc w:val="both"/>
      </w:pPr>
      <w:r>
        <w:t xml:space="preserve">All </w:t>
      </w:r>
      <w:r>
        <w:rPr>
          <w:b/>
        </w:rPr>
        <w:t>six development milestones (M1–M6)</w:t>
      </w:r>
      <w:r>
        <w:t xml:space="preserve"> have been successfully implemented, integrated, and verified:</w:t>
      </w:r>
    </w:p>
    <w:p>
      <w:pPr>
        <w:jc w:val="both"/>
      </w:pPr>
      <w:r>
        <w:t xml:space="preserve">1. </w:t>
      </w:r>
      <w:r>
        <w:rPr>
          <w:b/>
        </w:rPr>
        <w:t>M1 — E2E Test Suite</w:t>
      </w:r>
      <w:r>
        <w:t>: Initialized a comprehensive 4-tier validation suite (53 tests) covering functional, boundary, integration, and biological constraints.</w:t>
      </w:r>
    </w:p>
    <w:p>
      <w:pPr>
        <w:jc w:val="both"/>
      </w:pPr>
      <w:r>
        <w:t xml:space="preserve">2. </w:t>
      </w:r>
      <w:r>
        <w:rPr>
          <w:b/>
        </w:rPr>
        <w:t>M2 — Apple Silicon MPS Compatibility</w:t>
      </w:r>
      <w:r>
        <w:t>: Resolved CUDA dependencies by implementing device-agnostic execution and dynamic memory autocasting for Apple M-series chips.</w:t>
      </w:r>
    </w:p>
    <w:p>
      <w:pPr>
        <w:jc w:val="both"/>
      </w:pPr>
      <w:r>
        <w:t xml:space="preserve">3. </w:t>
      </w:r>
      <w:r>
        <w:rPr>
          <w:b/>
        </w:rPr>
        <w:t>M3 — Low-Rank Pair Representation</w:t>
      </w:r>
      <w:r>
        <w:t xml:space="preserve">: Replaced memory-heavy outer product mean updates with a custom autograd low-rank tensor product, achieving up to a </w:t>
      </w:r>
      <w:r>
        <w:rPr>
          <w:b/>
        </w:rPr>
        <w:t>1502x VRAM reduction (99.93% saving)</w:t>
      </w:r>
      <w:r>
        <w:t>.</w:t>
      </w:r>
    </w:p>
    <w:p>
      <w:pPr>
        <w:jc w:val="both"/>
      </w:pPr>
      <w:r>
        <w:t xml:space="preserve">4. </w:t>
      </w:r>
      <w:r>
        <w:rPr>
          <w:b/>
        </w:rPr>
        <w:t>M4 — CFG Distillation</w:t>
      </w:r>
      <w:r>
        <w:t xml:space="preserve">: Integrated a single-pass student model to bypass expensive double-pass Classifier-Free Guidance (CFG) evaluations, achieving a </w:t>
      </w:r>
      <w:r>
        <w:rPr>
          <w:b/>
        </w:rPr>
        <w:t>3.85x speedup</w:t>
      </w:r>
      <w:r>
        <w:t>.</w:t>
      </w:r>
    </w:p>
    <w:p>
      <w:pPr>
        <w:jc w:val="both"/>
      </w:pPr>
      <w:r>
        <w:t xml:space="preserve">5. </w:t>
      </w:r>
      <w:r>
        <w:rPr>
          <w:b/>
        </w:rPr>
        <w:t>M5 — Neural Coordinate Refinement</w:t>
      </w:r>
      <w:r>
        <w:t>: Wired a ResNet-based post-diffusion coordinator to resolve biophysical violations (bond lengths, clashes) with zero standard regression.</w:t>
      </w:r>
    </w:p>
    <w:p>
      <w:pPr>
        <w:jc w:val="both"/>
      </w:pPr>
      <w:r>
        <w:t xml:space="preserve">6. </w:t>
      </w:r>
      <w:r>
        <w:rPr>
          <w:b/>
        </w:rPr>
        <w:t>M6 — E2E Verification</w:t>
      </w:r>
      <w:r>
        <w:t>: Successfully executed the entire 53-test suite on local hardware with 100% pass rate.</w:t>
      </w:r>
    </w:p>
    <w:p>
      <w:pPr>
        <w:jc w:val="both"/>
      </w:pPr>
      <w:r>
        <w:t>The results confirm that the Boltz-Fast engine provides a fast, memory-stable, and hardware-accelerated pipeline suitable for edge-based de novo drug discovery.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Akik Jana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Bangalore</w:t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Dr. Arnab Bandyopadhyay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Hyderabad</w:t>
            </w:r>
          </w:p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</w:tbl>
    <w:p/>
    <w:p>
      <w:pPr>
        <w:jc w:val="both"/>
      </w:pPr>
      <w:r>
        <w:t>&lt;div class="sig-col"&gt;</w:t>
      </w:r>
    </w:p>
    <w:p>
      <w:pPr>
        <w:jc w:val="both"/>
      </w:pPr>
      <w:r>
        <w:t>&lt;div class="sig-line"&gt;&lt;/div&gt;</w:t>
      </w:r>
    </w:p>
    <w:p>
      <w:pPr>
        <w:jc w:val="both"/>
      </w:pPr>
      <w:r>
        <w:t>&lt;div class="sig-title"&gt;Signature of the Supervisor&lt;/div&gt;</w:t>
      </w:r>
    </w:p>
    <w:p>
      <w:pPr>
        <w:jc w:val="both"/>
      </w:pPr>
      <w:r>
        <w:t>&lt;div class="sig-field"&gt;</w:t>
      </w:r>
      <w:r>
        <w:rPr>
          <w:b/>
        </w:rPr>
        <w:t>Name:</w:t>
      </w:r>
      <w:r>
        <w:t xml:space="preserve"> Dr. Arnab Bandyopadhyay&lt;/div&gt;</w:t>
      </w:r>
    </w:p>
    <w:p>
      <w:pPr>
        <w:jc w:val="both"/>
      </w:pPr>
      <w:r>
        <w:t>&lt;div class="sig-field"&gt;</w:t>
      </w:r>
      <w:r>
        <w:rPr>
          <w:b/>
        </w:rPr>
        <w:t>Date:</w:t>
      </w:r>
      <w:r>
        <w:t xml:space="preserve"> June 22, 2026&lt;/div&gt;</w:t>
      </w:r>
    </w:p>
    <w:p>
      <w:pPr>
        <w:jc w:val="both"/>
      </w:pPr>
      <w:r>
        <w:t>&lt;div class="sig-field"&gt;</w:t>
      </w:r>
      <w:r>
        <w:rPr>
          <w:b/>
        </w:rPr>
        <w:t>Place:</w:t>
      </w:r>
      <w:r>
        <w:t xml:space="preserve"> Hyderabad&lt;/div&gt;</w:t>
      </w:r>
    </w:p>
    <w:p>
      <w:pPr>
        <w:jc w:val="both"/>
      </w:pPr>
      <w:r>
        <w:t>&lt;/div&gt;</w:t>
      </w:r>
    </w:p>
    <w:p>
      <w:pPr>
        <w:jc w:val="both"/>
      </w:pPr>
      <w:r>
        <w:t>&lt;/div&gt;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Contents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1. MODULES IN BOLTZ-FAST .....................................................................................................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a) Multi-Head Latent Attention (MLA) Cache 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b) Fold-CP Sequence Parallelism 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c) 2D Ring Triangular Multiplication Unit (TMU) ........................................................................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d) Low-Rank Pair Representation (OPM Replacement) [M3] 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e) Classifier-Free Guidance (CFG) Distillation [M4] 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f) Neural Coordinate Refinement [M5] 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g) Speculative Flow Matching Sampler .......................................................................................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h) Reference-Free SimPO Loss Tuning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i) g-DPO Linear Preference Alignment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2. FUNCTIONAL BLOCK DIAGRAM &amp; METHODOLOGY ........................................................... 9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3. MAJOR TECHNICAL SPECIFICATIONS &amp; BENCHMARKS ................................................... 10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4. DESIGN CONSIDERATIONS ..................................................................................................... 12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 VERIFICATION &amp; TESTING (M1 &amp; M6) ................................................................................... 13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 FUTURE PLAN ............................................................................................................................. 14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 ABBREVIATIONS ......................................................................................................................... 15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Figures</w:t>
      </w:r>
    </w:p>
    <w:p>
      <w:pPr>
        <w:jc w:val="both"/>
      </w:pPr>
      <w:r>
        <w:t>Figure 1: Core Modules in Boltz-Fast .................................................................................................... 5</w:t>
      </w:r>
    </w:p>
    <w:p>
      <w:pPr>
        <w:jc w:val="both"/>
      </w:pPr>
      <w:r>
        <w:t>Figure 2: C-alpha Backbone 3D Coordinate Plot ................................................................................... 11</w:t>
      </w:r>
    </w:p>
    <w:p>
      <w:pPr>
        <w:jc w:val="both"/>
      </w:pPr>
      <w:r>
        <w:t>Figure 3: Ray-Traced Protein Ribbon Model Rendering ........................................................................ 11</w:t>
      </w:r>
    </w:p>
    <w:p>
      <w:pPr>
        <w:jc w:val="both"/>
      </w:pPr>
      <w:r>
        <w:t>Figure 4: ANE-Accelerated 3D Insulin Backbone Visualization ................................................................ 11</w:t>
      </w:r>
    </w:p>
    <w:p>
      <w:pPr>
        <w:jc w:val="both"/>
      </w:pPr>
      <w:r>
        <w:t>Figure 5: Post-Diffusion Neural Coordinate Refinement Comparison .................................................... 13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Tables</w:t>
      </w:r>
    </w:p>
    <w:p>
      <w:pPr>
        <w:jc w:val="both"/>
      </w:pPr>
      <w:r>
        <w:t>Table 1: Computational Complexity &amp; Scaling Comparison .................................................................. 10</w:t>
      </w:r>
    </w:p>
    <w:p>
      <w:pPr>
        <w:jc w:val="both"/>
      </w:pPr>
      <w:r>
        <w:t>Table 2: Speculative Flow Matching Grid Sweep Data ........................................................................... 10</w:t>
      </w:r>
    </w:p>
    <w:p>
      <w:pPr>
        <w:jc w:val="both"/>
      </w:pPr>
      <w:r>
        <w:t>Table 3: Low-Rank Pair Representation Performance Scaling ............................................................. 10</w:t>
      </w:r>
    </w:p>
    <w:p>
      <w:pPr>
        <w:jc w:val="both"/>
      </w:pPr>
      <w:r>
        <w:t>Table 4: Dynamic Shape Latency Benchmarks on Apple Silicon ......................................................... 11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20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Binder Design Screens &amp;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21 Jul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Screen human TNF-alpha and write 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</w:tbl>
    <w:p/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ABBREVIATIONS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 Of Memory</w:t>
            </w:r>
          </w:p>
        </w:tc>
      </w:tr>
    </w:tbl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