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Yu Gothic" w:cs="Yu Gothic" w:eastAsia="Yu Gothic" w:hAnsi="Yu Gothic"/>
          <w:sz w:val="18"/>
          <w:szCs w:val="18"/>
        </w:rPr>
        <w:t xml:space="preserve">がん薬物療法に伴う末梢神経障害診療ガイドライン2028年版</w:t>
      </w:r>
    </w:p>
    <w:p>
      <w:pPr>
        <w:pStyle w:val="Title"/>
        <w:spacing w:after="80" w:before="100"/>
      </w:pPr>
      <w:r>
        <w:rPr>
          <w:rFonts w:ascii="Yu Gothic" w:cs="Yu Gothic" w:eastAsia="Yu Gothic" w:hAnsi="Yu Gothic"/>
          <w:b/>
          <w:bCs/>
          <w:sz w:val="34"/>
          <w:szCs w:val="34"/>
        </w:rPr>
        <w:t xml:space="preserve">SR委員の手順書</w:t>
      </w:r>
    </w:p>
    <w:p>
      <w:pPr>
        <w:spacing w:after="100"/>
      </w:pPr>
      <w:r>
        <w:rPr>
          <w:rFonts w:ascii="Yu Gothic" w:cs="Yu Gothic" w:eastAsia="Yu Gothic" w:hAnsi="Yu Gothic"/>
          <w:sz w:val="20"/>
          <w:szCs w:val="20"/>
        </w:rPr>
        <w:t xml:space="preserve">SR委員用　／　作成日 2026年10月7日　／　根拠: 承認済み企画書(Ver1 2026年6月17日)、提案書v2、Minds診療ガイドライン作成マニュアル2020</w:t>
      </w:r>
    </w:p>
    <w:p>
      <w:pPr>
        <w:pStyle w:val="Heading1"/>
        <w:spacing w:after="120" w:before="280"/>
      </w:pPr>
      <w:r>
        <w:rPr>
          <w:rFonts w:ascii="Yu Gothic" w:cs="Yu Gothic" w:eastAsia="Yu Gothic" w:hAnsi="Yu Gothic"/>
          <w:b/>
          <w:bCs/>
          <w:sz w:val="26"/>
          <w:szCs w:val="26"/>
        </w:rPr>
        <w:t xml:space="preserve">1. 作業の全体</w:t>
      </w:r>
    </w:p>
    <w:p>
      <w:pPr>
        <w:spacing w:after="100"/>
      </w:pPr>
      <w:r>
        <w:rPr>
          <w:rFonts w:ascii="Yu Gothic" w:cs="Yu Gothic" w:eastAsia="Yu Gothic" w:hAnsi="Yu Gothic"/>
          <w:sz w:val="20"/>
          <w:szCs w:val="20"/>
        </w:rPr>
        <w:t xml:space="preserve">1つのCQ(またはFRQ)を、担当の2名が別々に作業し、結果を照合して確定する。作業は、CQごとの作業ブック(minds_review.xlsx)に記録する。画面の操作は、操作マニュアルを参照する。担当は、SR委員長の手順書の担当表(企画書 2_1)のとおり。</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200"/>
        <w:gridCol w:w="1600"/>
        <w:gridCol w:w="1900"/>
      </w:tblGrid>
      <w:tr>
        <w:trPr>
          <w:cantSplit/>
          <w:tblHeader/>
        </w:trPr>
        <w:tc>
          <w:tcPr>
            <w:tcW w:type="dxa" w:w="7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工程</w:t>
            </w:r>
          </w:p>
        </w:tc>
        <w:tc>
          <w:tcPr>
            <w:tcW w:type="dxa" w:w="22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内容</w:t>
            </w:r>
          </w:p>
        </w:tc>
        <w:tc>
          <w:tcPr>
            <w:tcW w:type="dxa" w:w="32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記録する場所</w:t>
            </w:r>
          </w:p>
        </w:tc>
        <w:tc>
          <w:tcPr>
            <w:tcW w:type="dxa" w:w="16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担当</w:t>
            </w:r>
          </w:p>
        </w:tc>
        <w:tc>
          <w:tcPr>
            <w:tcW w:type="dxa" w:w="19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期限</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1</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CQ・PICO・評価指標の確認</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CQ・PICO、評価指標</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2名</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2026年11月</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検索の実行と記録</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検索式</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1名が実行、1名が確認</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2026年12月末</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3</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一次スクリーニング</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スクリーニングログ</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2名が独立</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2026年12月末</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4</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二次スクリーニング(全文)</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スクリーニングログ、papers/</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2名が独立</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2027年1月末</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5</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研究特性</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研究特性</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2名で分担し相互確認</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2027年2月末</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6</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個別研究の評価(様式4-5)</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4-5_(自分の氏名)</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2名が独立</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2027年3月末</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7</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照合と協議</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4-5_照合</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2名</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2027年4月中旬</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8</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エビデンス総体(様式SR-8)</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SR-8_エビデンス総体</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2名</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2027年4月末</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9</w:t>
            </w:r>
          </w:p>
        </w:tc>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推奨文草案・FRQ記載草案</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草案作成シート</w:t>
            </w:r>
          </w:p>
        </w:tc>
        <w:tc>
          <w:tcPr>
            <w:tcW w:type="dxa" w:w="16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2名</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2027年5月上旬</w:t>
            </w:r>
          </w:p>
        </w:tc>
      </w:tr>
    </w:tbl>
    <w:p>
      <w:pPr>
        <w:pStyle w:val="Heading1"/>
        <w:spacing w:after="120" w:before="280"/>
      </w:pPr>
      <w:r>
        <w:rPr>
          <w:rFonts w:ascii="Yu Gothic" w:cs="Yu Gothic" w:eastAsia="Yu Gothic" w:hAnsi="Yu Gothic"/>
          <w:b/>
          <w:bCs/>
          <w:sz w:val="26"/>
          <w:szCs w:val="26"/>
        </w:rPr>
        <w:t xml:space="preserve">2. 工程1: CQ・PICO・評価指標の確認</w:t>
      </w:r>
    </w:p>
    <w:p>
      <w:pPr>
        <w:pStyle w:val="ListParagraph"/>
        <w:numPr>
          <w:ilvl w:val="0"/>
          <w:numId w:val="2"/>
        </w:numPr>
        <w:spacing w:after="50"/>
      </w:pPr>
      <w:r>
        <w:rPr>
          <w:rFonts w:ascii="Yu Gothic" w:cs="Yu Gothic" w:eastAsia="Yu Gothic" w:hAnsi="Yu Gothic"/>
          <w:sz w:val="20"/>
          <w:szCs w:val="20"/>
        </w:rPr>
        <w:t xml:space="preserve">作業ブックの CQ・PICO シートで、P(対象)・I(介入)・C(対照)・O(アウトカム)を読み、担当2名で意味を一致させる。企画書のCQの構成要素は、P: CIPNを発症しうるがん薬物療法を受ける(予防)、または受けた(治療)患者、I: CIPNに対して予防もしくは治療効果が期待できる薬物または非薬物療法、C: 非介入群、O: 予防はCIPN発症頻度や症状(しびれ、疼痛)の軽減、治療は症状の軽減。</w:t>
      </w:r>
    </w:p>
    <w:p>
      <w:pPr>
        <w:pStyle w:val="ListParagraph"/>
        <w:numPr>
          <w:ilvl w:val="0"/>
          <w:numId w:val="2"/>
        </w:numPr>
        <w:spacing w:after="50"/>
      </w:pPr>
      <w:r>
        <w:rPr>
          <w:rFonts w:ascii="Yu Gothic" w:cs="Yu Gothic" w:eastAsia="Yu Gothic" w:hAnsi="Yu Gothic"/>
          <w:sz w:val="20"/>
          <w:szCs w:val="20"/>
        </w:rPr>
        <w:t xml:space="preserve">評価指標シートに、そのCQで使われる測定尺度(例: CTCAE Grade、FACT/GOG-Ntx、NRS、EORTC QLQ-CIPN20)を書く。重要度(1〜9点)は委員が決める。決まるまでは空欄でよい。</w:t>
      </w:r>
    </w:p>
    <w:p>
      <w:pPr>
        <w:pStyle w:val="ListParagraph"/>
        <w:numPr>
          <w:ilvl w:val="0"/>
          <w:numId w:val="2"/>
        </w:numPr>
        <w:spacing w:after="50"/>
      </w:pPr>
      <w:r>
        <w:rPr>
          <w:rFonts w:ascii="Yu Gothic" w:cs="Yu Gothic" w:eastAsia="Yu Gothic" w:hAnsi="Yu Gothic"/>
          <w:sz w:val="20"/>
          <w:szCs w:val="20"/>
        </w:rPr>
        <w:t xml:space="preserve">予防のCQか、治療のCQかは、CQの分類で決まっている。論文が予防か治療かは、論文のMethodに書かれた介入開始の時期と対象で判定する: 化学療法の開始前または開始時に介入を始めてCIPNの発生・重症化を評価していれば予防、すでにCIPNの症状がある患者を対象にしていれば治療。</w:t>
      </w:r>
    </w:p>
    <w:p>
      <w:pPr>
        <w:pStyle w:val="Heading1"/>
        <w:spacing w:after="120" w:before="280"/>
      </w:pPr>
      <w:r>
        <w:rPr>
          <w:rFonts w:ascii="Yu Gothic" w:cs="Yu Gothic" w:eastAsia="Yu Gothic" w:hAnsi="Yu Gothic"/>
          <w:b/>
          <w:bCs/>
          <w:sz w:val="26"/>
          <w:szCs w:val="26"/>
        </w:rPr>
        <w:t xml:space="preserve">3. 工程2: 検索の実行と記録</w:t>
      </w:r>
    </w:p>
    <w:p>
      <w:pPr>
        <w:pStyle w:val="ListParagraph"/>
        <w:numPr>
          <w:ilvl w:val="0"/>
          <w:numId w:val="2"/>
        </w:numPr>
        <w:spacing w:after="50"/>
      </w:pPr>
      <w:r>
        <w:rPr>
          <w:rFonts w:ascii="Yu Gothic" w:cs="Yu Gothic" w:eastAsia="Yu Gothic" w:hAnsi="Yu Gothic"/>
          <w:sz w:val="20"/>
          <w:szCs w:val="20"/>
        </w:rPr>
        <w:t xml:space="preserve">データベースはPubMed。検索式は、ASCO 2020の検索式(P: がん患者・サバイバー、C: 神経障害の語、I: 薬剤名)に、本CQの介入語を加えた式で、作業ブックの検索式シートに完成した式が入っている。</w:t>
      </w:r>
    </w:p>
    <w:p>
      <w:pPr>
        <w:pStyle w:val="ListParagraph"/>
        <w:numPr>
          <w:ilvl w:val="0"/>
          <w:numId w:val="2"/>
        </w:numPr>
        <w:spacing w:after="50"/>
      </w:pPr>
      <w:r>
        <w:rPr>
          <w:rFonts w:ascii="Yu Gothic" w:cs="Yu Gothic" w:eastAsia="Yu Gothic" w:hAnsi="Yu Gothic"/>
          <w:sz w:val="20"/>
          <w:szCs w:val="20"/>
        </w:rPr>
        <w:t xml:space="preserve">検索期間は、前回の検索終了日の翌月から2026年10月まで。2027年3月に更新検索を行う。前回の検索終了日の記録がないCQは、SR委員長へ連絡する。</w:t>
      </w:r>
    </w:p>
    <w:p>
      <w:pPr>
        <w:pStyle w:val="ListParagraph"/>
        <w:numPr>
          <w:ilvl w:val="0"/>
          <w:numId w:val="2"/>
        </w:numPr>
        <w:spacing w:after="50"/>
      </w:pPr>
      <w:r>
        <w:rPr>
          <w:rFonts w:ascii="Yu Gothic" w:cs="Yu Gothic" w:eastAsia="Yu Gothic" w:hAnsi="Yu Gothic"/>
          <w:sz w:val="20"/>
          <w:szCs w:val="20"/>
        </w:rPr>
        <w:t xml:space="preserve">検索式シートに、検索実施日、実施者、ヒット件数、重複除去後件数を書く。再現できる記録にする。</w:t>
      </w:r>
    </w:p>
    <w:p>
      <w:pPr>
        <w:pStyle w:val="ListParagraph"/>
        <w:numPr>
          <w:ilvl w:val="0"/>
          <w:numId w:val="2"/>
        </w:numPr>
        <w:spacing w:after="50"/>
      </w:pPr>
      <w:r>
        <w:rPr>
          <w:rFonts w:ascii="Yu Gothic" w:cs="Yu Gothic" w:eastAsia="Yu Gothic" w:hAnsi="Yu Gothic"/>
          <w:sz w:val="20"/>
          <w:szCs w:val="20"/>
        </w:rPr>
        <w:t xml:space="preserve">PubMedでは、日付を検索式の中に書く(例: ("2021/07/01"[dp] : "3000"[dp]))。画面の日付フィルターだけでは再現できない。</w:t>
      </w:r>
    </w:p>
    <w:p>
      <w:pPr>
        <w:pStyle w:val="ListParagraph"/>
        <w:numPr>
          <w:ilvl w:val="0"/>
          <w:numId w:val="2"/>
        </w:numPr>
        <w:spacing w:after="50"/>
      </w:pPr>
      <w:r>
        <w:rPr>
          <w:rFonts w:ascii="Yu Gothic" w:cs="Yu Gothic" w:eastAsia="Yu Gothic" w:hAnsi="Yu Gothic"/>
          <w:sz w:val="20"/>
          <w:szCs w:val="20"/>
        </w:rPr>
        <w:t xml:space="preserve">文献のソースは、前回Scopeのとおり、(1)PubMedの系統的検索、(2)既存ガイドライン(ASCO 2014・2020、ESMO 2020)の引用文献、(3)手引き2017、(4)作成委員の任意のサーベイランス。</w:t>
      </w:r>
    </w:p>
    <w:p>
      <w:pPr>
        <w:pStyle w:val="Heading1"/>
        <w:spacing w:after="120" w:before="280"/>
      </w:pPr>
      <w:r>
        <w:rPr>
          <w:rFonts w:ascii="Yu Gothic" w:cs="Yu Gothic" w:eastAsia="Yu Gothic" w:hAnsi="Yu Gothic"/>
          <w:b/>
          <w:bCs/>
          <w:sz w:val="26"/>
          <w:szCs w:val="26"/>
        </w:rPr>
        <w:t xml:space="preserve">4. 工程3〜4: スクリーニング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段階</w:t>
            </w:r>
          </w:p>
        </w:tc>
        <w:tc>
          <w:tcPr>
            <w:tcW w:type="dxa" w:w="74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判定の基準(前回Scope 文献の選択基準)</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一次(タイトル・抄録)</w:t>
            </w:r>
          </w:p>
        </w:tc>
        <w:tc>
          <w:tcPr>
            <w:tcW w:type="dxa" w:w="7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次のいずれかなら除外し、理由を書く: 18歳未満が対象、がん患者でない、英語でない、国内で施行できない方法・薬物、CIPNに関する研究でない。迷ったら残す</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二次(全文)</w:t>
            </w:r>
          </w:p>
        </w:tc>
        <w:tc>
          <w:tcPr>
            <w:tcW w:type="dxa" w:w="7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全文を読んで、選択基準(18歳以上、がん患者、英語、国内で施行可能な方法・薬物(保険適用の有無は問わない))と、研究デザイン(メタアナリシス、無作為化比較試験、分析疫学的研究、記述研究)を満たすものを採用する。除外理由を必ず記録する。記述研究と英語の総説は、解説で紹介してよいが、推奨の根拠にしない。効果はCIPNに限定する。有害事象は、必要なら「がんの疼痛」「慢性疼痛」「神経障害性疼痛」にも広げて調べてよい</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不一致</w:t>
            </w:r>
          </w:p>
        </w:tc>
        <w:tc>
          <w:tcPr>
            <w:tcW w:type="dxa" w:w="7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2名の判定が異なる論文は、協議して決める。決まらなければSR委員長に連絡する</w:t>
            </w:r>
          </w:p>
        </w:tc>
      </w:tr>
    </w:tbl>
    <w:p>
      <w:pPr>
        <w:spacing w:after="100"/>
      </w:pPr>
      <w:r>
        <w:rPr>
          <w:rFonts w:ascii="Yu Gothic" w:cs="Yu Gothic" w:eastAsia="Yu Gothic" w:hAnsi="Yu Gothic"/>
          <w:i/>
          <w:iCs/>
          <w:sz w:val="18"/>
          <w:szCs w:val="18"/>
        </w:rPr>
        <w:t xml:space="preserve">2名は、相手の判定を見ずに記入する。採用論文のPDFは、PMIDをファイル名にして(例: 12345678.pdf)、共有フォルダの自分のCQのフォルダに入れる(別紙「論文PDFの入手と配置の手順」の委員用)。購読していない論文は、入手できない論文は、監修者に相談のうえ、華井が千葉大経由で取り寄せる(企画書)。入手できる論文は、所属機関の契約やPubMedの無料全文リンクなどで各自ダウンロードし、papers/ に入れる。</w:t>
      </w:r>
    </w:p>
    <w:p>
      <w:pPr>
        <w:pStyle w:val="Heading1"/>
        <w:spacing w:after="120" w:before="280"/>
      </w:pPr>
      <w:r>
        <w:rPr>
          <w:rFonts w:ascii="Yu Gothic" w:cs="Yu Gothic" w:eastAsia="Yu Gothic" w:hAnsi="Yu Gothic"/>
          <w:b/>
          <w:bCs/>
          <w:sz w:val="26"/>
          <w:szCs w:val="26"/>
        </w:rPr>
        <w:t xml:space="preserve">5. 工程5: 研究特性</w:t>
      </w:r>
    </w:p>
    <w:p>
      <w:pPr>
        <w:spacing w:after="100"/>
      </w:pPr>
      <w:r>
        <w:rPr>
          <w:rFonts w:ascii="Yu Gothic" w:cs="Yu Gothic" w:eastAsia="Yu Gothic" w:hAnsi="Yu Gothic"/>
          <w:sz w:val="20"/>
          <w:szCs w:val="20"/>
        </w:rPr>
        <w:t xml:space="preserve">作業ブックの研究特性シートに、採用論文ごとに記入する。Claudeの下書き(論文本文からの抽出)があれば、原文と照らして修正する。確定するのは担当者である。記入した内容は、草案作成シートの「採用文献の概要」に表示される。</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項目(列)</w:t>
            </w:r>
          </w:p>
        </w:tc>
        <w:tc>
          <w:tcPr>
            <w:tcW w:type="dxa" w:w="72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記入内容</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研究コード</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「第一著者 et al. 年」の形式(例: Smith et al. 2013)</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デザイン、国、全症例数、介入群症例数</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RCT、クロスオーバーRCT、コホートなど。解析対象の人数</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化学療法の分類(プルダウン)</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白金製剤(シスプラチン、カルボプラチン、オキサリプラチン)、タキサン系(パクリタキセル、ドセタキセル、nab-パクリタキセル)、ビンカアルカロイド、ボルテゾミブ等、混在、不明の6区分。CIPNは、化学療法の種類で病態と介入の効果が異なるため、層別の分析に使う</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具体的な薬剤</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本文に書かれた薬剤名・レジメン(例: FOLFOX、nab-パクリタキセル+ゲムシタビン)</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がん腫</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対象のがん腫(例: 大腸癌、乳癌、肺癌、血液腫瘍)。複数あれば併記</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介入の内容(用量・期間)、対照の内容</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用量、期間、開始時期(化学療法の前か後か)。対照が無治療、プラセボ、別の薬剤のどれかを明記</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追跡期間・評価時点</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アウトカムを測った時点</w:t>
            </w:r>
          </w:p>
        </w:tc>
      </w:tr>
    </w:tbl>
    <w:p>
      <w:pPr>
        <w:pStyle w:val="Heading1"/>
        <w:spacing w:after="120" w:before="280"/>
      </w:pPr>
      <w:r>
        <w:rPr>
          <w:rFonts w:ascii="Yu Gothic" w:cs="Yu Gothic" w:eastAsia="Yu Gothic" w:hAnsi="Yu Gothic"/>
          <w:b/>
          <w:bCs/>
          <w:sz w:val="26"/>
          <w:szCs w:val="26"/>
        </w:rPr>
        <w:t xml:space="preserve">6. 工程6: 個別研究の評価(様式4-5)</w:t>
      </w:r>
    </w:p>
    <w:p>
      <w:pPr>
        <w:spacing w:after="100"/>
      </w:pPr>
      <w:r>
        <w:rPr>
          <w:rFonts w:ascii="Yu Gothic" w:cs="Yu Gothic" w:eastAsia="Yu Gothic" w:hAnsi="Yu Gothic"/>
          <w:sz w:val="20"/>
          <w:szCs w:val="20"/>
        </w:rPr>
        <w:t xml:space="preserve">自分の名前のシート(4-5_氏名)に、評価を書く。相手のシートは見ない。Mindsの様式4-5と同じ列構成で、バイアスリスク10項目と非直接性5項目を、アウトカムごとに 0 / -1 / -2 で評価する(依頼者の決定)。</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800"/>
      </w:tblGrid>
      <w:tr>
        <w:trPr>
          <w:cantSplit/>
          <w:tblHeader/>
        </w:trPr>
        <w:tc>
          <w:tcPr>
            <w:tcW w:type="dxa" w:w="12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判定</w:t>
            </w:r>
          </w:p>
        </w:tc>
        <w:tc>
          <w:tcPr>
            <w:tcW w:type="dxa" w:w="28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意味</w:t>
            </w:r>
          </w:p>
        </w:tc>
        <w:tc>
          <w:tcPr>
            <w:tcW w:type="dxa" w:w="28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例(ランダム化)</w:t>
            </w:r>
          </w:p>
        </w:tc>
        <w:tc>
          <w:tcPr>
            <w:tcW w:type="dxa" w:w="28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例(盲検化)</w:t>
            </w:r>
          </w:p>
        </w:tc>
      </w:tr>
      <w:tr>
        <w:trPr>
          <w:cantSplit/>
          <w:tblHeader w:val="off"/>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0</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バイアスのリスクが低い</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乱数表・コンピュータで割り付けた</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二重盲検</w:t>
            </w:r>
          </w:p>
        </w:tc>
      </w:tr>
      <w:tr>
        <w:trPr>
          <w:cantSplit/>
          <w:tblHeader w:val="off"/>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-1</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リスクが中程度、または記載がなく判断できない</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方法の記載がない</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単盲検、非盲検(オープンラベル)、または盲検化の記載がない</w:t>
            </w:r>
          </w:p>
        </w:tc>
      </w:tr>
      <w:tr>
        <w:trPr>
          <w:cantSplit/>
          <w:tblHeader w:val="off"/>
        </w:trPr>
        <w:tc>
          <w:tcPr>
            <w:tcW w:type="dxa" w:w="1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-2</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リスクが高い</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交互割付など不適切</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盲検化の2項目では使わない(上の-1にする)</w:t>
            </w:r>
          </w:p>
        </w:tc>
      </w:tr>
    </w:tbl>
    <w:p>
      <w:pPr>
        <w:pStyle w:val="ListParagraph"/>
        <w:numPr>
          <w:ilvl w:val="0"/>
          <w:numId w:val="2"/>
        </w:numPr>
        <w:spacing w:after="50"/>
      </w:pPr>
      <w:r>
        <w:rPr>
          <w:rFonts w:ascii="Yu Gothic" w:cs="Yu Gothic" w:eastAsia="Yu Gothic" w:hAnsi="Yu Gothic"/>
          <w:sz w:val="20"/>
          <w:szCs w:val="20"/>
        </w:rPr>
        <w:t xml:space="preserve">盲検化の2項目(参加者・医療提供者、アウトカム評価者)は、二重盲検は 0、単盲検は -1、非盲検(オープンラベル)は -1、論文に盲検化の記載がない場合も -1 とし、-2 は使わない(統括委員長の決定)。介入の性質上、盲検化できない介入(運動、鍼灸、冷却・圧迫など)も、非盲検として -1 とする。</w:t>
      </w:r>
    </w:p>
    <w:p>
      <w:pPr>
        <w:pStyle w:val="ListParagraph"/>
        <w:numPr>
          <w:ilvl w:val="0"/>
          <w:numId w:val="2"/>
        </w:numPr>
        <w:spacing w:after="50"/>
      </w:pPr>
      <w:r>
        <w:rPr>
          <w:rFonts w:ascii="Yu Gothic" w:cs="Yu Gothic" w:eastAsia="Yu Gothic" w:hAnsi="Yu Gothic"/>
          <w:sz w:val="20"/>
          <w:szCs w:val="20"/>
        </w:rPr>
        <w:t xml:space="preserve">非直接性は、対象(化学療法の種類・がん種・CIPNの重症度)、介入(用量・時期)、対照、アウトカム(代替指標か患者にとって重要な指標か)の4つについて評価する。本CQの対象と化学療法の種類が異なる研究は、対象の非直接性を-1または-2にする。</w:t>
      </w:r>
    </w:p>
    <w:p>
      <w:pPr>
        <w:pStyle w:val="ListParagraph"/>
        <w:numPr>
          <w:ilvl w:val="0"/>
          <w:numId w:val="2"/>
        </w:numPr>
        <w:spacing w:after="50"/>
      </w:pPr>
      <w:r>
        <w:rPr>
          <w:rFonts w:ascii="Yu Gothic" w:cs="Yu Gothic" w:eastAsia="Yu Gothic" w:hAnsi="Yu Gothic"/>
          <w:sz w:val="20"/>
          <w:szCs w:val="20"/>
        </w:rPr>
        <w:t xml:space="preserve">アウトカムの数だけ評価ブロックがある。ブロックは、評価指標シートの尺度に対応させる。</w:t>
      </w:r>
    </w:p>
    <w:p>
      <w:pPr>
        <w:pStyle w:val="ListParagraph"/>
        <w:numPr>
          <w:ilvl w:val="0"/>
          <w:numId w:val="2"/>
        </w:numPr>
        <w:spacing w:after="50"/>
      </w:pPr>
      <w:r>
        <w:rPr>
          <w:rFonts w:ascii="Yu Gothic" w:cs="Yu Gothic" w:eastAsia="Yu Gothic" w:hAnsi="Yu Gothic"/>
          <w:sz w:val="20"/>
          <w:szCs w:val="20"/>
        </w:rPr>
        <w:t xml:space="preserve">判断の理由は、コメント欄に1行で書く。理由のない -1/-2 は、照合の協議の対象になる。</w:t>
      </w:r>
    </w:p>
    <w:p>
      <w:pPr>
        <w:pStyle w:val="ListParagraph"/>
        <w:numPr>
          <w:ilvl w:val="0"/>
          <w:numId w:val="2"/>
        </w:numPr>
        <w:spacing w:after="50"/>
      </w:pPr>
      <w:r>
        <w:rPr>
          <w:rFonts w:ascii="Yu Gothic" w:cs="Yu Gothic" w:eastAsia="Yu Gothic" w:hAnsi="Yu Gothic"/>
          <w:sz w:val="20"/>
          <w:szCs w:val="20"/>
        </w:rPr>
        <w:t xml:space="preserve">2023年版で使った✔/?/－は、0/-1/-2に換算して下書きに入っている。アウトカムごとに見直す。</w:t>
      </w:r>
    </w:p>
    <w:p>
      <w:pPr>
        <w:pStyle w:val="ListParagraph"/>
        <w:numPr>
          <w:ilvl w:val="0"/>
          <w:numId w:val="2"/>
        </w:numPr>
        <w:spacing w:after="50"/>
      </w:pPr>
      <w:r>
        <w:rPr>
          <w:rFonts w:ascii="Yu Gothic" w:cs="Yu Gothic" w:eastAsia="Yu Gothic" w:hAnsi="Yu Gothic"/>
          <w:sz w:val="20"/>
          <w:szCs w:val="20"/>
        </w:rPr>
        <w:t xml:space="preserve">RoB2(Cochrane)は、4-5の補助として使いたい場合に限り「RoB2(参考)」シートに書く。確定には使わない。</w:t>
      </w:r>
    </w:p>
    <w:p>
      <w:pPr>
        <w:pStyle w:val="Heading1"/>
        <w:spacing w:after="120" w:before="280"/>
      </w:pPr>
      <w:r>
        <w:rPr>
          <w:rFonts w:ascii="Yu Gothic" w:cs="Yu Gothic" w:eastAsia="Yu Gothic" w:hAnsi="Yu Gothic"/>
          <w:b/>
          <w:bCs/>
          <w:sz w:val="26"/>
          <w:szCs w:val="26"/>
        </w:rPr>
        <w:t xml:space="preserve">7. 工程7: 照合と協議</w:t>
      </w:r>
    </w:p>
    <w:p>
      <w:pPr>
        <w:pStyle w:val="ListParagraph"/>
        <w:numPr>
          <w:ilvl w:val="0"/>
          <w:numId w:val="2"/>
        </w:numPr>
        <w:spacing w:after="50"/>
      </w:pPr>
      <w:r>
        <w:rPr>
          <w:rFonts w:ascii="Yu Gothic" w:cs="Yu Gothic" w:eastAsia="Yu Gothic" w:hAnsi="Yu Gothic"/>
          <w:sz w:val="20"/>
          <w:szCs w:val="20"/>
        </w:rPr>
        <w:t xml:space="preserve">4-5_照合シートが、2名の評価を項目ごとに比べ、不一致を赤く表示する。</w:t>
      </w:r>
    </w:p>
    <w:p>
      <w:pPr>
        <w:pStyle w:val="ListParagraph"/>
        <w:numPr>
          <w:ilvl w:val="0"/>
          <w:numId w:val="2"/>
        </w:numPr>
        <w:spacing w:after="50"/>
      </w:pPr>
      <w:r>
        <w:rPr>
          <w:rFonts w:ascii="Yu Gothic" w:cs="Yu Gothic" w:eastAsia="Yu Gothic" w:hAnsi="Yu Gothic"/>
          <w:sz w:val="20"/>
          <w:szCs w:val="20"/>
        </w:rPr>
        <w:t xml:space="preserve">不一致の項目は、2名で論文の該当箇所を一緒に読んで協議し、「確定」列に記入する。2名の評価が同じ項目は、そのまま確定になる。</w:t>
      </w:r>
    </w:p>
    <w:p>
      <w:pPr>
        <w:pStyle w:val="ListParagraph"/>
        <w:numPr>
          <w:ilvl w:val="0"/>
          <w:numId w:val="2"/>
        </w:numPr>
        <w:spacing w:after="50"/>
      </w:pPr>
      <w:r>
        <w:rPr>
          <w:rFonts w:ascii="Yu Gothic" w:cs="Yu Gothic" w:eastAsia="Yu Gothic" w:hAnsi="Yu Gothic"/>
          <w:sz w:val="20"/>
          <w:szCs w:val="20"/>
        </w:rPr>
        <w:t xml:space="preserve">協議で決まらない項目は、確定列に「未確定」と書き、SR委員長に連絡する。</w:t>
      </w:r>
    </w:p>
    <w:p>
      <w:pPr>
        <w:pStyle w:val="Heading1"/>
        <w:spacing w:after="120" w:before="280"/>
      </w:pPr>
      <w:r>
        <w:rPr>
          <w:rFonts w:ascii="Yu Gothic" w:cs="Yu Gothic" w:eastAsia="Yu Gothic" w:hAnsi="Yu Gothic"/>
          <w:b/>
          <w:bCs/>
          <w:sz w:val="26"/>
          <w:szCs w:val="26"/>
        </w:rPr>
        <w:t xml:space="preserve">8. 工程8: エビデンス総体(様式SR-8)</w:t>
      </w:r>
    </w:p>
    <w:p>
      <w:pPr>
        <w:spacing w:after="100"/>
      </w:pPr>
      <w:r>
        <w:rPr>
          <w:rFonts w:ascii="Yu Gothic" w:cs="Yu Gothic" w:eastAsia="Yu Gothic" w:hAnsi="Yu Gothic"/>
          <w:sz w:val="20"/>
          <w:szCs w:val="20"/>
        </w:rPr>
        <w:t xml:space="preserve">アウトカムごとに、全研究の結果をまとめて、エビデンスの確実性を決める。Mindsの様式SR-8と同じ列構成。</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cantSplit/>
          <w:tblHeader/>
        </w:trPr>
        <w:tc>
          <w:tcPr>
            <w:tcW w:type="dxa" w:w="24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項目</w:t>
            </w:r>
          </w:p>
        </w:tc>
        <w:tc>
          <w:tcPr>
            <w:tcW w:type="dxa" w:w="7200"/>
            <w:tcBorders>
              <w:top w:val="single" w:color="000000" w:sz="4"/>
              <w:left w:val="single" w:color="000000" w:sz="4"/>
              <w:bottom w:val="single" w:color="000000" w:sz="4"/>
              <w:right w:val="single" w:color="000000" w:sz="4"/>
            </w:tcBorders>
            <w:shd w:fill="EDEDED" w:color="auto" w:val="clear"/>
            <w:tcMar>
              <w:top w:type="dxa" w:w="40"/>
              <w:left w:type="dxa" w:w="80"/>
              <w:bottom w:type="dxa" w:w="40"/>
              <w:right w:type="dxa" w:w="80"/>
            </w:tcMar>
          </w:tcPr>
          <w:p>
            <w:r>
              <w:rPr>
                <w:rFonts w:ascii="Yu Gothic" w:cs="Yu Gothic" w:eastAsia="Yu Gothic" w:hAnsi="Yu Gothic"/>
                <w:b/>
                <w:bCs/>
                <w:sz w:val="15"/>
                <w:szCs w:val="15"/>
              </w:rPr>
              <w:t xml:space="preserve">評価</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バイアスリスク</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0 / -1 / -2。個別研究の評価(4-5)を総合する。結果への寄与が大きい研究のバイアスを重く見る</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非一貫性</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0 / -1 / -2。研究間で効果の方向と大きさがそろっているか。化学療法の種類で効果が異なる場合は、層別行(白金製剤、タキサン系)に分けて評価する</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不精確性</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0 / -1 / -2。症例数、イベント数、信頼区間の幅</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非直接性</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0 / -1 / -2。個別研究の非直接性を総合する</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その他(出版バイアスなど)</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0 / -1 / -2</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上昇要因</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0 / +1 / +2。大きな効果、用量反応関係、交絡がむしろ効果を弱める場合</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エビデンスの確実性</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A(強)/ B(中)/ C(弱)/ D(非常に弱い)。RCTは A から始め、各ドメインの減点と上昇要因を加減して決める</w:t>
            </w:r>
          </w:p>
        </w:tc>
      </w:tr>
      <w:tr>
        <w:trPr>
          <w:cantSplit/>
          <w:tblHeader w:val="off"/>
        </w:trPr>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重要度</w:t>
            </w:r>
          </w:p>
        </w:tc>
        <w:tc>
          <w:tcPr>
            <w:tcW w:type="dxa" w:w="7200"/>
            <w:tcBorders>
              <w:top w:val="single" w:color="000000" w:sz="4"/>
              <w:left w:val="single" w:color="000000" w:sz="4"/>
              <w:bottom w:val="single" w:color="000000" w:sz="4"/>
              <w:right w:val="single" w:color="000000" w:sz="4"/>
            </w:tcBorders>
            <w:tcMar>
              <w:top w:type="dxa" w:w="40"/>
              <w:left w:type="dxa" w:w="80"/>
              <w:bottom w:type="dxa" w:w="40"/>
              <w:right w:type="dxa" w:w="80"/>
            </w:tcMar>
          </w:tcPr>
          <w:p>
            <w:r>
              <w:rPr>
                <w:rFonts w:ascii="Yu Gothic" w:cs="Yu Gothic" w:eastAsia="Yu Gothic" w:hAnsi="Yu Gothic"/>
                <w:b w:val="false"/>
                <w:bCs w:val="false"/>
                <w:sz w:val="15"/>
                <w:szCs w:val="15"/>
              </w:rPr>
              <w:t xml:space="preserve">1〜9点。委員が決めた値を入れる</w:t>
            </w:r>
          </w:p>
        </w:tc>
      </w:tr>
    </w:tbl>
    <w:p>
      <w:pPr>
        <w:spacing w:after="100"/>
      </w:pPr>
      <w:r>
        <w:rPr>
          <w:rFonts w:ascii="Yu Gothic" w:cs="Yu Gothic" w:eastAsia="Yu Gothic" w:hAnsi="Yu Gothic"/>
          <w:i/>
          <w:iCs/>
          <w:sz w:val="18"/>
          <w:szCs w:val="18"/>
        </w:rPr>
        <w:t xml:space="preserve">効果量は、イベント数と症例数からリスク比を計算する。システムの固定効果モデルによる統合値は参考値であり、確定ではない。確定は、SR委員2名の協議による。SoFは、SR-8から自動で作られる。</w:t>
      </w:r>
    </w:p>
    <w:p>
      <w:pPr>
        <w:pStyle w:val="Heading1"/>
        <w:spacing w:after="120" w:before="280"/>
      </w:pPr>
      <w:r>
        <w:rPr>
          <w:rFonts w:ascii="Yu Gothic" w:cs="Yu Gothic" w:eastAsia="Yu Gothic" w:hAnsi="Yu Gothic"/>
          <w:b/>
          <w:bCs/>
          <w:sz w:val="26"/>
          <w:szCs w:val="26"/>
        </w:rPr>
        <w:t xml:space="preserve">9. 工程9: 推奨文草案とFRQ記載草案</w:t>
      </w:r>
    </w:p>
    <w:p>
      <w:pPr>
        <w:pStyle w:val="ListParagraph"/>
        <w:numPr>
          <w:ilvl w:val="0"/>
          <w:numId w:val="2"/>
        </w:numPr>
        <w:spacing w:after="50"/>
      </w:pPr>
      <w:r>
        <w:rPr>
          <w:rFonts w:ascii="Yu Gothic" w:cs="Yu Gothic" w:eastAsia="Yu Gothic" w:hAnsi="Yu Gothic"/>
          <w:sz w:val="20"/>
          <w:szCs w:val="20"/>
        </w:rPr>
        <w:t xml:space="preserve">EtD: 作業ブックの「EtD(2023年版)」シートに、2023年版の推奨・投票結果・解説の原文が入っている。2028年版の推奨文案と、考慮する4項目(エビデンス全体の確実性、望ましい効果と望ましくない効果のバランス、患者・市民の価値観と希望、資源)の欄を、様式SR-8の結果を見て記入する。</w:t>
      </w:r>
    </w:p>
    <w:p>
      <w:pPr>
        <w:pStyle w:val="ListParagraph"/>
        <w:numPr>
          <w:ilvl w:val="0"/>
          <w:numId w:val="2"/>
        </w:numPr>
        <w:spacing w:after="50"/>
      </w:pPr>
      <w:r>
        <w:rPr>
          <w:rFonts w:ascii="Yu Gothic" w:cs="Yu Gothic" w:eastAsia="Yu Gothic" w:hAnsi="Yu Gothic"/>
          <w:sz w:val="20"/>
          <w:szCs w:val="20"/>
        </w:rPr>
        <w:t xml:space="preserve">CQ: 草案作成シートに、推奨文の草案、推奨の強さの案(5段階)、エビデンスの確実性、考慮する4項目(エビデンス全体の確実性、望ましい効果と望ましくない効果のバランス、患者・市民の価値観と希望、資源(高額な場合のみ))を記入する。入力後、お名前を入れて「草案をJSONで書き出す」を押し、ファイルを事務局へ送る。</w:t>
      </w:r>
    </w:p>
    <w:p>
      <w:pPr>
        <w:pStyle w:val="ListParagraph"/>
        <w:numPr>
          <w:ilvl w:val="0"/>
          <w:numId w:val="2"/>
        </w:numPr>
        <w:spacing w:after="50"/>
      </w:pPr>
      <w:r>
        <w:rPr>
          <w:rFonts w:ascii="Yu Gothic" w:cs="Yu Gothic" w:eastAsia="Yu Gothic" w:hAnsi="Yu Gothic"/>
          <w:sz w:val="20"/>
          <w:szCs w:val="20"/>
        </w:rPr>
        <w:t xml:space="preserve">FRQ: 推奨を出さない。背景、現時点のエビデンスの状況、推奨を出せない理由、今後必要な研究(デザイン・対象・アウトカム)を記載する。</w:t>
      </w:r>
    </w:p>
    <w:p>
      <w:pPr>
        <w:pStyle w:val="ListParagraph"/>
        <w:numPr>
          <w:ilvl w:val="0"/>
          <w:numId w:val="2"/>
        </w:numPr>
        <w:spacing w:after="50"/>
      </w:pPr>
      <w:r>
        <w:rPr>
          <w:rFonts w:ascii="Yu Gothic" w:cs="Yu Gothic" w:eastAsia="Yu Gothic" w:hAnsi="Yu Gothic"/>
          <w:sz w:val="20"/>
          <w:szCs w:val="20"/>
        </w:rPr>
        <w:t xml:space="preserve">解説に入れたい点、重要論文の要約(5〜12行)、迷った判断を、申し送りとして文章で書く。</w:t>
      </w:r>
    </w:p>
    <w:p>
      <w:pPr>
        <w:spacing w:after="100"/>
      </w:pPr>
      <w:r>
        <w:rPr>
          <w:rFonts w:ascii="Yu Gothic" w:cs="Yu Gothic" w:eastAsia="Yu Gothic" w:hAnsi="Yu Gothic"/>
          <w:sz w:val="20"/>
          <w:szCs w:val="20"/>
        </w:rPr>
        <w:t xml:space="preserve">推奨を決めるのは、推奨作成会議の投票である。草案は、議論の出発点であり、結論ではない。</w:t>
      </w:r>
    </w:p>
    <w:p>
      <w:pPr>
        <w:pStyle w:val="Heading1"/>
        <w:spacing w:after="120" w:before="280"/>
      </w:pPr>
      <w:r>
        <w:rPr>
          <w:rFonts w:ascii="Yu Gothic" w:cs="Yu Gothic" w:eastAsia="Yu Gothic" w:hAnsi="Yu Gothic"/>
          <w:b/>
          <w:bCs/>
          <w:sz w:val="26"/>
          <w:szCs w:val="26"/>
        </w:rPr>
        <w:t xml:space="preserve">10. 利益相反(COI)とAIの利用範囲</w:t>
      </w:r>
    </w:p>
    <w:p>
      <w:pPr>
        <w:pStyle w:val="ListParagraph"/>
        <w:numPr>
          <w:ilvl w:val="0"/>
          <w:numId w:val="2"/>
        </w:numPr>
        <w:spacing w:after="50"/>
      </w:pPr>
      <w:r>
        <w:rPr>
          <w:rFonts w:ascii="Yu Gothic" w:cs="Yu Gothic" w:eastAsia="Yu Gothic" w:hAnsi="Yu Gothic"/>
          <w:sz w:val="20"/>
          <w:szCs w:val="20"/>
        </w:rPr>
        <w:t xml:space="preserve">自分が筆頭著者の論文を評価する場合は、評価は行ってよい。そのCQの投票には加わらない(前回Scope)。SR担当は、そのCQの投票に加わらない。COI申告書を2026年11月末までに提出する。</w:t>
      </w:r>
    </w:p>
    <w:p>
      <w:pPr>
        <w:pStyle w:val="ListParagraph"/>
        <w:numPr>
          <w:ilvl w:val="0"/>
          <w:numId w:val="2"/>
        </w:numPr>
        <w:spacing w:after="50"/>
      </w:pPr>
      <w:r>
        <w:rPr>
          <w:rFonts w:ascii="Yu Gothic" w:cs="Yu Gothic" w:eastAsia="Yu Gothic" w:hAnsi="Yu Gothic"/>
          <w:sz w:val="20"/>
          <w:szCs w:val="20"/>
        </w:rPr>
        <w:t xml:space="preserve">Claudeは、論文本文から研究特性・評価指標・症例数・イベント数を抽出する下書きの作成に限って使う。バイアスリスクの評価、採否の判断、推奨の決定には使わない。下書きは「4-5_Claude下書き」シートにだけ書かれ、委員のシートには書き込まれない。利用範囲は、ガイドラインの作成経過に記載する。</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6"/>
        <w:szCs w:val="16"/>
      </w:rPr>
      <w:t xml:space="preserve">SR委員の手順書　</w:t>
    </w:r>
    <w:r>
      <w:rPr>
        <w:rFonts w:ascii="Yu Gothic" w:cs="Yu Gothic" w:eastAsia="Yu Gothic" w:hAnsi="Yu Gothi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40" w:hanging="280"/>
      </w:pPr>
    </w:lvl>
    <w:lvl w:ilvl="1" w:tentative="1">
      <w:start w:val="1"/>
      <w:numFmt w:val="bullet"/>
      <w:lvlText w:val="－"/>
      <w:lvlJc w:val="left"/>
      <w:pPr>
        <w:ind w:left="880" w:hanging="280"/>
      </w:pPr>
    </w:lvl>
  </w:abstractNum>
  <w:abstractNum w:abstractNumId="3" w15:restartNumberingAfterBreak="0">
    <w:multiLevelType w:val="hybridMultilevel"/>
    <w:lvl w:ilvl="0" w:tentative="1">
      <w:start w:val="1"/>
      <w:numFmt w:val="decimal"/>
      <w:lvlText w:val="%1."/>
      <w:lvlJc w:val="left"/>
      <w:pPr>
        <w:ind w:left="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2026-10-24T15:40:14.771Z</dcterms:created>
  <dcterms:modified xsi:type="dcterms:W3CDTF">2026-10-24T15:40:14.771Z</dcterms:modified>
</cp:coreProperties>
</file>

<file path=docProps/custom.xml><?xml version="1.0" encoding="utf-8"?>
<Properties xmlns="http://schemas.openxmlformats.org/officeDocument/2006/custom-properties" xmlns:vt="http://schemas.openxmlformats.org/officeDocument/2006/docPropsVTypes"/>
</file>