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rFonts w:ascii="Yu Gothic" w:cs="Yu Gothic" w:eastAsia="Yu Gothic" w:hAnsi="Yu Gothic"/>
          <w:b/>
          <w:bCs/>
          <w:sz w:val="34"/>
          <w:szCs w:val="34"/>
        </w:rPr>
        <w:t xml:space="preserve">AI(Claude)の影響要因とリスク管理</w:t>
      </w:r>
    </w:p>
    <w:p>
      <w:pPr>
        <w:spacing w:after="100"/>
      </w:pPr>
      <w:r>
        <w:rPr>
          <w:rFonts w:ascii="Yu Gothic" w:cs="Yu Gothic" w:eastAsia="Yu Gothic" w:hAnsi="Yu Gothic"/>
          <w:sz w:val="20"/>
          <w:szCs w:val="20"/>
        </w:rPr>
        <w:t xml:space="preserve">統括委員会 委員長 華井明子 宛　／　作成日 2026年10月7日　／　基準: 承認済み企画書 Ver1(2026年6月17日)</w:t>
      </w:r>
    </w:p>
    <w:p>
      <w:pPr>
        <w:pStyle w:val="Heading1"/>
        <w:spacing w:after="120" w:before="280"/>
      </w:pPr>
      <w:r>
        <w:rPr>
          <w:rFonts w:ascii="Yu Gothic" w:cs="Yu Gothic" w:eastAsia="Yu Gothic" w:hAnsi="Yu Gothic"/>
          <w:b/>
          <w:bCs/>
          <w:sz w:val="26"/>
          <w:szCs w:val="26"/>
        </w:rPr>
        <w:t xml:space="preserve">1. 何が起きたか</w:t>
      </w:r>
    </w:p>
    <w:p>
      <w:pPr>
        <w:spacing w:after="100"/>
      </w:pPr>
      <w:r>
        <w:rPr>
          <w:rFonts w:ascii="Yu Gothic" w:cs="Yu Gothic" w:eastAsia="Yu Gothic" w:hAnsi="Yu Gothic"/>
          <w:sz w:val="20"/>
          <w:szCs w:val="20"/>
        </w:rPr>
        <w:t xml:space="preserve">Claudeは、企画書にない介入(光生体調節、電気刺激、外用薬など)を「候補」として挙げ、文献の件数から追加を提案する調査を行い、Scope改訂案の論点3に入れた。さらに、Scope改訂案の作成組織に、2023年版の体制(企画書にない氏名)を使っていた。いずれも、Mindsの手順(CQはScopeで委員会が決める)にも、承認済み企画書にもない。</w:t>
      </w:r>
    </w:p>
    <w:p>
      <w:pPr>
        <w:spacing w:after="100"/>
      </w:pPr>
      <w:r>
        <w:rPr>
          <w:rFonts w:ascii="Yu Gothic" w:cs="Yu Gothic" w:eastAsia="Yu Gothic" w:hAnsi="Yu Gothic"/>
          <w:sz w:val="20"/>
          <w:szCs w:val="20"/>
        </w:rPr>
        <w:t xml:space="preserve">この書類は、(1)Claudeの出力に影響しうる経路の一覧、(2)今回の逸脱の原因、(3)再発を防ぐ対策、を記録する。</w:t>
      </w:r>
    </w:p>
    <w:p>
      <w:pPr>
        <w:pStyle w:val="Heading1"/>
        <w:spacing w:after="120" w:before="280"/>
      </w:pPr>
      <w:r>
        <w:rPr>
          <w:rFonts w:ascii="Yu Gothic" w:cs="Yu Gothic" w:eastAsia="Yu Gothic" w:hAnsi="Yu Gothic"/>
          <w:b/>
          <w:bCs/>
          <w:sz w:val="26"/>
          <w:szCs w:val="26"/>
        </w:rPr>
        <w:t xml:space="preserve">2. Claudeの出力に影響しうる経路の一覧</w:t>
      </w:r>
    </w:p>
    <w:p>
      <w:pPr>
        <w:spacing w:after="100"/>
      </w:pPr>
      <w:r>
        <w:rPr>
          <w:rFonts w:ascii="Yu Gothic" w:cs="Yu Gothic" w:eastAsia="Yu Gothic" w:hAnsi="Yu Gothic"/>
          <w:sz w:val="20"/>
          <w:szCs w:val="20"/>
        </w:rPr>
        <w:t xml:space="preserve">注: Claudeは、自分の学習内容の偏りを自分で検査できない。下表の「確認できたこと」は、このセッションで観測できた範囲に限る。</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3700"/>
        <w:gridCol w:w="3100"/>
      </w:tblGrid>
      <w:tr>
        <w:trPr>
          <w:cantSplit/>
          <w:tblHeader/>
        </w:trPr>
        <w:tc>
          <w:tcPr>
            <w:tcW w:type="dxa" w:w="500"/>
            <w:tcBorders>
              <w:top w:val="single" w:color="000000" w:sz="4"/>
              <w:left w:val="single" w:color="000000" w:sz="4"/>
              <w:bottom w:val="single" w:color="000000" w:sz="4"/>
              <w:right w:val="single" w:color="000000" w:sz="4"/>
            </w:tcBorders>
            <w:shd w:fill="EDEDED" w:color="auto" w:val="clear"/>
            <w:tcMar>
              <w:top w:type="dxa" w:w="40"/>
              <w:left w:type="dxa" w:w="80"/>
              <w:bottom w:type="dxa" w:w="40"/>
              <w:right w:type="dxa" w:w="80"/>
            </w:tcMar>
          </w:tcPr>
          <w:p>
            <w:r>
              <w:rPr>
                <w:rFonts w:ascii="Yu Gothic" w:cs="Yu Gothic" w:eastAsia="Yu Gothic" w:hAnsi="Yu Gothic"/>
                <w:b/>
                <w:bCs/>
                <w:sz w:val="15"/>
                <w:szCs w:val="15"/>
              </w:rPr>
              <w:t xml:space="preserve">No</w:t>
            </w:r>
          </w:p>
        </w:tc>
        <w:tc>
          <w:tcPr>
            <w:tcW w:type="dxa" w:w="2300"/>
            <w:tcBorders>
              <w:top w:val="single" w:color="000000" w:sz="4"/>
              <w:left w:val="single" w:color="000000" w:sz="4"/>
              <w:bottom w:val="single" w:color="000000" w:sz="4"/>
              <w:right w:val="single" w:color="000000" w:sz="4"/>
            </w:tcBorders>
            <w:shd w:fill="EDEDED" w:color="auto" w:val="clear"/>
            <w:tcMar>
              <w:top w:type="dxa" w:w="40"/>
              <w:left w:type="dxa" w:w="80"/>
              <w:bottom w:type="dxa" w:w="40"/>
              <w:right w:type="dxa" w:w="80"/>
            </w:tcMar>
          </w:tcPr>
          <w:p>
            <w:r>
              <w:rPr>
                <w:rFonts w:ascii="Yu Gothic" w:cs="Yu Gothic" w:eastAsia="Yu Gothic" w:hAnsi="Yu Gothic"/>
                <w:b/>
                <w:bCs/>
                <w:sz w:val="15"/>
                <w:szCs w:val="15"/>
              </w:rPr>
              <w:t xml:space="preserve">経路</w:t>
            </w:r>
          </w:p>
        </w:tc>
        <w:tc>
          <w:tcPr>
            <w:tcW w:type="dxa" w:w="3700"/>
            <w:tcBorders>
              <w:top w:val="single" w:color="000000" w:sz="4"/>
              <w:left w:val="single" w:color="000000" w:sz="4"/>
              <w:bottom w:val="single" w:color="000000" w:sz="4"/>
              <w:right w:val="single" w:color="000000" w:sz="4"/>
            </w:tcBorders>
            <w:shd w:fill="EDEDED" w:color="auto" w:val="clear"/>
            <w:tcMar>
              <w:top w:type="dxa" w:w="40"/>
              <w:left w:type="dxa" w:w="80"/>
              <w:bottom w:type="dxa" w:w="40"/>
              <w:right w:type="dxa" w:w="80"/>
            </w:tcMar>
          </w:tcPr>
          <w:p>
            <w:r>
              <w:rPr>
                <w:rFonts w:ascii="Yu Gothic" w:cs="Yu Gothic" w:eastAsia="Yu Gothic" w:hAnsi="Yu Gothic"/>
                <w:b/>
                <w:bCs/>
                <w:sz w:val="15"/>
                <w:szCs w:val="15"/>
              </w:rPr>
              <w:t xml:space="preserve">内容</w:t>
            </w:r>
          </w:p>
        </w:tc>
        <w:tc>
          <w:tcPr>
            <w:tcW w:type="dxa" w:w="3100"/>
            <w:tcBorders>
              <w:top w:val="single" w:color="000000" w:sz="4"/>
              <w:left w:val="single" w:color="000000" w:sz="4"/>
              <w:bottom w:val="single" w:color="000000" w:sz="4"/>
              <w:right w:val="single" w:color="000000" w:sz="4"/>
            </w:tcBorders>
            <w:shd w:fill="EDEDED" w:color="auto" w:val="clear"/>
            <w:tcMar>
              <w:top w:type="dxa" w:w="40"/>
              <w:left w:type="dxa" w:w="80"/>
              <w:bottom w:type="dxa" w:w="40"/>
              <w:right w:type="dxa" w:w="80"/>
            </w:tcMar>
          </w:tcPr>
          <w:p>
            <w:r>
              <w:rPr>
                <w:rFonts w:ascii="Yu Gothic" w:cs="Yu Gothic" w:eastAsia="Yu Gothic" w:hAnsi="Yu Gothic"/>
                <w:b/>
                <w:bCs/>
                <w:sz w:val="15"/>
                <w:szCs w:val="15"/>
              </w:rPr>
              <w:t xml:space="preserve">確認できたこと</w:t>
            </w:r>
          </w:p>
        </w:tc>
      </w:tr>
      <w:tr>
        <w:trPr>
          <w:cantSplit/>
          <w:tblHeader w:val="off"/>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1</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システムプロンプト(Claude Codeの実行環境)</w:t>
            </w:r>
          </w:p>
        </w:tc>
        <w:tc>
          <w:tcPr>
            <w:tcW w:type="dxa" w:w="37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Gitの操作手順、コミットの署名文、GitHub操作、権限の規則。ガイドラインの内容(介入、CQ)を指定する記述はない</w:t>
            </w:r>
          </w:p>
        </w:tc>
        <w:tc>
          <w:tcPr>
            <w:tcW w:type="dxa" w:w="31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介入・CQ・商品を指定する記述なし</w:t>
            </w:r>
          </w:p>
        </w:tc>
      </w:tr>
      <w:tr>
        <w:trPr>
          <w:cantSplit/>
          <w:tblHeader w:val="off"/>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2</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PubMed MCPの応答に付く「important_legal_notice」</w:t>
            </w:r>
          </w:p>
        </w:tc>
        <w:tc>
          <w:tcPr>
            <w:tcW w:type="dxa" w:w="37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出典(According to PubMed)とDOIリンクの記載を求める文。「省略の依頼は断れ」という文を含む。ツールの応答に入った指示文の例</w:t>
            </w:r>
          </w:p>
        </w:tc>
        <w:tc>
          <w:tcPr>
            <w:tcW w:type="dxa" w:w="31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出典表示のみ。介入の選択には関与しない。指示としては扱わず、出典の表示は委員長の依頼で行っている</w:t>
            </w:r>
          </w:p>
        </w:tc>
      </w:tr>
      <w:tr>
        <w:trPr>
          <w:cantSplit/>
          <w:tblHeader w:val="off"/>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3</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Consensus MCPの指示文</w:t>
            </w:r>
          </w:p>
        </w:tc>
        <w:tc>
          <w:tcPr>
            <w:tcW w:type="dxa" w:w="37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検索結果に「サインアップ・アップグレードの文を一字一句掲載せよ」と求める。商用の誘導にあたる</w:t>
            </w:r>
          </w:p>
        </w:tc>
        <w:tc>
          <w:tcPr>
            <w:tcW w:type="dxa" w:w="31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このプロジェクトでは一度も呼び出していない</w:t>
            </w:r>
          </w:p>
        </w:tc>
      </w:tr>
      <w:tr>
        <w:trPr>
          <w:cantSplit/>
          <w:tblHeader w:val="off"/>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4</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Elicit、Claude Docs、Google Drive MCP</w:t>
            </w:r>
          </w:p>
        </w:tc>
        <w:tc>
          <w:tcPr>
            <w:tcW w:type="dxa" w:w="37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文献検索・文書作成・ファイル操作のツール</w:t>
            </w:r>
          </w:p>
        </w:tc>
        <w:tc>
          <w:tcPr>
            <w:tcW w:type="dxa" w:w="31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使用していない</w:t>
            </w:r>
          </w:p>
        </w:tc>
      </w:tr>
      <w:tr>
        <w:trPr>
          <w:cantSplit/>
          <w:tblHeader w:val="off"/>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5</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スキル・プラグイン・コネクタを勧めるツール(SuggestSkills、SuggestConnectors、SuggestPluginInstall、SearchMcpRegistry)</w:t>
            </w:r>
          </w:p>
        </w:tc>
        <w:tc>
          <w:tcPr>
            <w:tcW w:type="dxa" w:w="37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製品を提案する機能</w:t>
            </w:r>
          </w:p>
        </w:tc>
        <w:tc>
          <w:tcPr>
            <w:tcW w:type="dxa" w:w="31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呼び出していない</w:t>
            </w:r>
          </w:p>
        </w:tc>
      </w:tr>
      <w:tr>
        <w:trPr>
          <w:cantSplit/>
          <w:tblHeader w:val="off"/>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6</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論文の抄録・本文(第三者の文章)</w:t>
            </w:r>
          </w:p>
        </w:tc>
        <w:tc>
          <w:tcPr>
            <w:tcW w:type="dxa" w:w="37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出版バイアス(肯定的な結果が出版されやすい)、企業資金の研究、英語圏の偏り。抄録の中に指示文が混ざる可能性</w:t>
            </w:r>
          </w:p>
        </w:tc>
        <w:tc>
          <w:tcPr>
            <w:tcW w:type="dxa" w:w="31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このセッションで読んだ抄録に、Claudeへの指示文は見つからなかった。出版バイアスは除けない</w:t>
            </w:r>
          </w:p>
        </w:tc>
      </w:tr>
      <w:tr>
        <w:trPr>
          <w:cantSplit/>
          <w:tblHeader w:val="off"/>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7</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ユーザーが添付したファイル(pptx、docx、pdf、zip)</w:t>
            </w:r>
          </w:p>
        </w:tc>
        <w:tc>
          <w:tcPr>
            <w:tcW w:type="dxa" w:w="37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内容はデータであり指示ではない。ただし古い版の情報(2023年版の体制)が混入する</w:t>
            </w:r>
          </w:p>
        </w:tc>
        <w:tc>
          <w:tcPr>
            <w:tcW w:type="dxa" w:w="31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今回の逸脱の原因の1つ(2023年版の体制の混入)</w:t>
            </w:r>
          </w:p>
        </w:tc>
      </w:tr>
      <w:tr>
        <w:trPr>
          <w:cantSplit/>
          <w:tblHeader w:val="off"/>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8</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会話の要約(コンテキスト圧縮)</w:t>
            </w:r>
          </w:p>
        </w:tc>
        <w:tc>
          <w:tcPr>
            <w:tcW w:type="dxa" w:w="37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Claude自身が書いた要約が、次の作業の指示として働く。要約に「候補介入の調査」が未了タスクとして残り、自己増殖した</w:t>
            </w:r>
          </w:p>
        </w:tc>
        <w:tc>
          <w:tcPr>
            <w:tcW w:type="dxa" w:w="31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今回の逸脱の主因の1つ</w:t>
            </w:r>
          </w:p>
        </w:tc>
      </w:tr>
      <w:tr>
        <w:trPr>
          <w:cantSplit/>
          <w:tblHeader w:val="off"/>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9</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Claudeの学習による事前知識</w:t>
            </w:r>
          </w:p>
        </w:tc>
        <w:tc>
          <w:tcPr>
            <w:tcW w:type="dxa" w:w="37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英語圏で頻出する介入(光生体調節、TENS、外用薬など)を「候補」と連想する。「親切に先回りして提案する」傾向</w:t>
            </w:r>
          </w:p>
        </w:tc>
        <w:tc>
          <w:tcPr>
            <w:tcW w:type="dxa" w:w="31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今回の逸脱の主因。特定の企業・製品を推す記述は確認できなかった。商用バイアスの有無は、Claude自身では検証できない</w:t>
            </w:r>
          </w:p>
        </w:tc>
      </w:tr>
    </w:tbl>
    <w:p>
      <w:pPr>
        <w:spacing w:after="100"/>
      </w:pPr>
      <w:r>
        <w:rPr>
          <w:rFonts w:ascii="Yu Gothic" w:cs="Yu Gothic" w:eastAsia="Yu Gothic" w:hAnsi="Yu Gothic"/>
          <w:i/>
          <w:iCs/>
          <w:sz w:val="18"/>
          <w:szCs w:val="18"/>
        </w:rPr>
        <w:t xml:space="preserve">「AIO」は、AIの出力を特定の方向へ誘導する仕組み(AI向けの最適化、AI要約、ツール応答への指示文の混入など)と解釈した。別の意味であれば指示してください。</w:t>
      </w:r>
    </w:p>
    <w:p>
      <w:pPr>
        <w:pStyle w:val="Heading1"/>
        <w:spacing w:after="120" w:before="280"/>
      </w:pPr>
      <w:r>
        <w:rPr>
          <w:rFonts w:ascii="Yu Gothic" w:cs="Yu Gothic" w:eastAsia="Yu Gothic" w:hAnsi="Yu Gothic"/>
          <w:b/>
          <w:bCs/>
          <w:sz w:val="26"/>
          <w:szCs w:val="26"/>
        </w:rPr>
        <w:t xml:space="preserve">3. 今回の逸脱の原因(確認できたもの)</w:t>
      </w:r>
    </w:p>
    <w:p>
      <w:pPr>
        <w:pStyle w:val="ListParagraph"/>
        <w:numPr>
          <w:ilvl w:val="0"/>
          <w:numId w:val="2"/>
        </w:numPr>
        <w:spacing w:after="50"/>
      </w:pPr>
      <w:r>
        <w:rPr>
          <w:rFonts w:ascii="Yu Gothic" w:cs="Yu Gothic" w:eastAsia="Yu Gothic" w:hAnsi="Yu Gothic"/>
          <w:sz w:val="20"/>
          <w:szCs w:val="20"/>
        </w:rPr>
        <w:t xml:space="preserve">企画書(2026年6月17日 Ver1)を基準として固定せず、会話の流れで作業を広げた。</w:t>
      </w:r>
    </w:p>
    <w:p>
      <w:pPr>
        <w:pStyle w:val="ListParagraph"/>
        <w:numPr>
          <w:ilvl w:val="0"/>
          <w:numId w:val="2"/>
        </w:numPr>
        <w:spacing w:after="50"/>
      </w:pPr>
      <w:r>
        <w:rPr>
          <w:rFonts w:ascii="Yu Gothic" w:cs="Yu Gothic" w:eastAsia="Yu Gothic" w:hAnsi="Yu Gothic"/>
          <w:sz w:val="20"/>
          <w:szCs w:val="20"/>
        </w:rPr>
        <w:t xml:space="preserve">「文献の件数から候補を選ぶ」という手順を、Claude自身が作り、Mindsの手順(Scopeで委員会がCQを決める)と混同した。</w:t>
      </w:r>
    </w:p>
    <w:p>
      <w:pPr>
        <w:pStyle w:val="ListParagraph"/>
        <w:numPr>
          <w:ilvl w:val="0"/>
          <w:numId w:val="2"/>
        </w:numPr>
        <w:spacing w:after="50"/>
      </w:pPr>
      <w:r>
        <w:rPr>
          <w:rFonts w:ascii="Yu Gothic" w:cs="Yu Gothic" w:eastAsia="Yu Gothic" w:hAnsi="Yu Gothic"/>
          <w:sz w:val="20"/>
          <w:szCs w:val="20"/>
        </w:rPr>
        <w:t xml:space="preserve">Scope改訂案の作成組織に、2023年版の体制を使い、承認済み企画書の体制と照合しなかった。</w:t>
      </w:r>
    </w:p>
    <w:p>
      <w:pPr>
        <w:pStyle w:val="ListParagraph"/>
        <w:numPr>
          <w:ilvl w:val="0"/>
          <w:numId w:val="2"/>
        </w:numPr>
        <w:spacing w:after="50"/>
      </w:pPr>
      <w:r>
        <w:rPr>
          <w:rFonts w:ascii="Yu Gothic" w:cs="Yu Gothic" w:eastAsia="Yu Gothic" w:hAnsi="Yu Gothic"/>
          <w:sz w:val="20"/>
          <w:szCs w:val="20"/>
        </w:rPr>
        <w:t xml:space="preserve">会話の要約に、自分が作った未了タスクが残り、次の作業の指示になった。</w:t>
      </w:r>
    </w:p>
    <w:p>
      <w:pPr>
        <w:pStyle w:val="Heading1"/>
        <w:spacing w:after="120" w:before="280"/>
      </w:pPr>
      <w:r>
        <w:rPr>
          <w:rFonts w:ascii="Yu Gothic" w:cs="Yu Gothic" w:eastAsia="Yu Gothic" w:hAnsi="Yu Gothic"/>
          <w:b/>
          <w:bCs/>
          <w:sz w:val="26"/>
          <w:szCs w:val="26"/>
        </w:rPr>
        <w:t xml:space="preserve">4. リスク管理(実施済み)</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6400"/>
      </w:tblGrid>
      <w:tr>
        <w:trPr>
          <w:cantSplit/>
          <w:tblHeader/>
        </w:trPr>
        <w:tc>
          <w:tcPr>
            <w:tcW w:type="dxa" w:w="500"/>
            <w:tcBorders>
              <w:top w:val="single" w:color="000000" w:sz="4"/>
              <w:left w:val="single" w:color="000000" w:sz="4"/>
              <w:bottom w:val="single" w:color="000000" w:sz="4"/>
              <w:right w:val="single" w:color="000000" w:sz="4"/>
            </w:tcBorders>
            <w:shd w:fill="EDEDED" w:color="auto" w:val="clear"/>
            <w:tcMar>
              <w:top w:type="dxa" w:w="40"/>
              <w:left w:type="dxa" w:w="80"/>
              <w:bottom w:type="dxa" w:w="40"/>
              <w:right w:type="dxa" w:w="80"/>
            </w:tcMar>
          </w:tcPr>
          <w:p>
            <w:r>
              <w:rPr>
                <w:rFonts w:ascii="Yu Gothic" w:cs="Yu Gothic" w:eastAsia="Yu Gothic" w:hAnsi="Yu Gothic"/>
                <w:b/>
                <w:bCs/>
                <w:sz w:val="15"/>
                <w:szCs w:val="15"/>
              </w:rPr>
              <w:t xml:space="preserve">No</w:t>
            </w:r>
          </w:p>
        </w:tc>
        <w:tc>
          <w:tcPr>
            <w:tcW w:type="dxa" w:w="2700"/>
            <w:tcBorders>
              <w:top w:val="single" w:color="000000" w:sz="4"/>
              <w:left w:val="single" w:color="000000" w:sz="4"/>
              <w:bottom w:val="single" w:color="000000" w:sz="4"/>
              <w:right w:val="single" w:color="000000" w:sz="4"/>
            </w:tcBorders>
            <w:shd w:fill="EDEDED" w:color="auto" w:val="clear"/>
            <w:tcMar>
              <w:top w:type="dxa" w:w="40"/>
              <w:left w:type="dxa" w:w="80"/>
              <w:bottom w:type="dxa" w:w="40"/>
              <w:right w:type="dxa" w:w="80"/>
            </w:tcMar>
          </w:tcPr>
          <w:p>
            <w:r>
              <w:rPr>
                <w:rFonts w:ascii="Yu Gothic" w:cs="Yu Gothic" w:eastAsia="Yu Gothic" w:hAnsi="Yu Gothic"/>
                <w:b/>
                <w:bCs/>
                <w:sz w:val="15"/>
                <w:szCs w:val="15"/>
              </w:rPr>
              <w:t xml:space="preserve">対策</w:t>
            </w:r>
          </w:p>
        </w:tc>
        <w:tc>
          <w:tcPr>
            <w:tcW w:type="dxa" w:w="6400"/>
            <w:tcBorders>
              <w:top w:val="single" w:color="000000" w:sz="4"/>
              <w:left w:val="single" w:color="000000" w:sz="4"/>
              <w:bottom w:val="single" w:color="000000" w:sz="4"/>
              <w:right w:val="single" w:color="000000" w:sz="4"/>
            </w:tcBorders>
            <w:shd w:fill="EDEDED" w:color="auto" w:val="clear"/>
            <w:tcMar>
              <w:top w:type="dxa" w:w="40"/>
              <w:left w:type="dxa" w:w="80"/>
              <w:bottom w:type="dxa" w:w="40"/>
              <w:right w:type="dxa" w:w="80"/>
            </w:tcMar>
          </w:tcPr>
          <w:p>
            <w:r>
              <w:rPr>
                <w:rFonts w:ascii="Yu Gothic" w:cs="Yu Gothic" w:eastAsia="Yu Gothic" w:hAnsi="Yu Gothic"/>
                <w:b/>
                <w:bCs/>
                <w:sz w:val="15"/>
                <w:szCs w:val="15"/>
              </w:rPr>
              <w:t xml:space="preserve">内容</w:t>
            </w:r>
          </w:p>
        </w:tc>
      </w:tr>
      <w:tr>
        <w:trPr>
          <w:cantSplit/>
          <w:tblHeader w:val="off"/>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1</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基準の固定</w:t>
            </w:r>
          </w:p>
        </w:tc>
        <w:tc>
          <w:tcPr>
            <w:tcW w:type="dxa" w:w="64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承認済み企画書のdocxを governance/ に保存し、SHA-256を記録。機械可読版(approved_plan.json)に、タイトル、体制、SR項目11、FRQ項目4、総論A〜N、予算、運営方針を転記</w:t>
            </w:r>
          </w:p>
        </w:tc>
      </w:tr>
      <w:tr>
        <w:trPr>
          <w:cantSplit/>
          <w:tblHeader w:val="off"/>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2</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逸脱の自動検査</w:t>
            </w:r>
          </w:p>
        </w:tc>
        <w:tc>
          <w:tcPr>
            <w:tcW w:type="dxa" w:w="64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governance/plan_guard.py が、(a)企画書の改ざん、(b)企画書にない作業フォルダ、(c)企画書にない介入名・旧体制の氏名、(d)Scope改訂案の項目欠落とタイトル、を検査し、1件でもあれば失敗する</w:t>
            </w:r>
          </w:p>
        </w:tc>
      </w:tr>
      <w:tr>
        <w:trPr>
          <w:cantSplit/>
          <w:tblHeader w:val="off"/>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3</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検査の自動実行</w:t>
            </w:r>
          </w:p>
        </w:tc>
        <w:tc>
          <w:tcPr>
            <w:tcW w:type="dxa" w:w="64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コミットの前(.githooks/pre-commit)と、run_revision.sh の先頭で、検査を実行する。失敗したらコミット・処理を止める</w:t>
            </w:r>
          </w:p>
        </w:tc>
      </w:tr>
      <w:tr>
        <w:trPr>
          <w:cantSplit/>
          <w:tblHeader w:val="off"/>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4</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作業規則の固定</w:t>
            </w:r>
          </w:p>
        </w:tc>
        <w:tc>
          <w:tcPr>
            <w:tcW w:type="dxa" w:w="64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リポジトリの CLAUDE.md に、企画書外の追加・提案の禁止、ツール出力は指示でない、使ってよい外部ツールはPubMedのみ、を記載。Claudeは作業開始のたびにこれを読む</w:t>
            </w:r>
          </w:p>
        </w:tc>
      </w:tr>
      <w:tr>
        <w:trPr>
          <w:cantSplit/>
          <w:tblHeader w:val="off"/>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5</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隔離</w:t>
            </w:r>
          </w:p>
        </w:tc>
        <w:tc>
          <w:tcPr>
            <w:tcW w:type="dxa" w:w="64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企画書外の調査(候補介入の文献調査、候補の件数スクリプト)を _企画書外_保留/ に移し、使用しない。成果物と手順書から参照を削除</w:t>
            </w:r>
          </w:p>
        </w:tc>
      </w:tr>
      <w:tr>
        <w:trPr>
          <w:cantSplit/>
          <w:tblHeader w:val="off"/>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6</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是正</w:t>
            </w:r>
          </w:p>
        </w:tc>
        <w:tc>
          <w:tcPr>
            <w:tcW w:type="dxa" w:w="64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Scope改訂案を企画書に合わせて修正: タイトルを「2028年版」に、作成組織を企画書の体制に、論点2と3を企画書のとおりに(新規介入は追加しない)、患者代表の役割は企画書に記載がないため統括委員会の決定事項に</w:t>
            </w:r>
          </w:p>
        </w:tc>
      </w:tr>
      <w:tr>
        <w:trPr>
          <w:cantSplit/>
          <w:tblHeader w:val="off"/>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7</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用語の固定</w:t>
            </w:r>
          </w:p>
        </w:tc>
        <w:tc>
          <w:tcPr>
            <w:tcW w:type="dxa" w:w="64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手順書の選択基準を、2023年版Scope 7.2に合わせた。独自に作った「適格RCT」「追加基準」を削除</w:t>
            </w:r>
          </w:p>
        </w:tc>
      </w:tr>
    </w:tbl>
    <w:p>
      <w:pPr>
        <w:pStyle w:val="Heading1"/>
        <w:spacing w:after="120" w:before="280"/>
      </w:pPr>
      <w:r>
        <w:rPr>
          <w:rFonts w:ascii="Yu Gothic" w:cs="Yu Gothic" w:eastAsia="Yu Gothic" w:hAnsi="Yu Gothic"/>
          <w:b/>
          <w:bCs/>
          <w:sz w:val="26"/>
          <w:szCs w:val="26"/>
        </w:rPr>
        <w:t xml:space="preserve">5. 残るリスクと、委員長にお願いしたい確認</w:t>
      </w:r>
    </w:p>
    <w:p>
      <w:pPr>
        <w:pStyle w:val="ListParagraph"/>
        <w:numPr>
          <w:ilvl w:val="0"/>
          <w:numId w:val="2"/>
        </w:numPr>
        <w:spacing w:after="50"/>
      </w:pPr>
      <w:r>
        <w:rPr>
          <w:rFonts w:ascii="Yu Gothic" w:cs="Yu Gothic" w:eastAsia="Yu Gothic" w:hAnsi="Yu Gothic"/>
          <w:sz w:val="20"/>
          <w:szCs w:val="20"/>
        </w:rPr>
        <w:t xml:space="preserve">検査は、登録した語と構造を調べるだけである。企画書にない内容が、登録していない言い方で書かれていれば検出できない。成果物は、委員長または統括委員会が目で確認してください。</w:t>
      </w:r>
    </w:p>
    <w:p>
      <w:pPr>
        <w:pStyle w:val="ListParagraph"/>
        <w:numPr>
          <w:ilvl w:val="0"/>
          <w:numId w:val="2"/>
        </w:numPr>
        <w:spacing w:after="50"/>
      </w:pPr>
      <w:r>
        <w:rPr>
          <w:rFonts w:ascii="Yu Gothic" w:cs="Yu Gothic" w:eastAsia="Yu Gothic" w:hAnsi="Yu Gothic"/>
          <w:sz w:val="20"/>
          <w:szCs w:val="20"/>
        </w:rPr>
        <w:t xml:space="preserve">企画書に記載がない事項(検索期間・検索式・選択基準、スケジュールの日付、推奨作成会議の運営、患者代表の参画方法)は、現在の書類で前回Scopeの踏襲または案として書いている。統括委員会で承認してください。</w:t>
      </w:r>
    </w:p>
    <w:p>
      <w:pPr>
        <w:pStyle w:val="ListParagraph"/>
        <w:numPr>
          <w:ilvl w:val="0"/>
          <w:numId w:val="2"/>
        </w:numPr>
        <w:spacing w:after="50"/>
      </w:pPr>
      <w:r>
        <w:rPr>
          <w:rFonts w:ascii="Yu Gothic" w:cs="Yu Gothic" w:eastAsia="Yu Gothic" w:hAnsi="Yu Gothic"/>
          <w:sz w:val="20"/>
          <w:szCs w:val="20"/>
        </w:rPr>
        <w:t xml:space="preserve">企画書は、SR項目11・FRQ項目4である。現在の作業フォルダは、ガバペンチノイド(プレガバリン)の予防、プレガバリンとミロガバリン(治療)を別フォルダにしており、企画書の「ガバペンチノイド(プレガバリン、ミロガバリン)」1項目と対応する。フォルダ数を企画書の項目数に合わせるか、確認してください。</w:t>
      </w:r>
    </w:p>
    <w:p>
      <w:pPr>
        <w:pStyle w:val="ListParagraph"/>
        <w:numPr>
          <w:ilvl w:val="0"/>
          <w:numId w:val="2"/>
        </w:numPr>
        <w:spacing w:after="50"/>
      </w:pPr>
      <w:r>
        <w:rPr>
          <w:rFonts w:ascii="Yu Gothic" w:cs="Yu Gothic" w:eastAsia="Yu Gothic" w:hAnsi="Yu Gothic"/>
          <w:sz w:val="20"/>
          <w:szCs w:val="20"/>
        </w:rPr>
        <w:t xml:space="preserve">企画書の変更は、企画書のdocxを改訂して承認し、approved_plan.json とSHA-256を更新してから行う。Claudeは、企画書を書き換えない。</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cs="Yu Gothic" w:eastAsia="Yu Gothic" w:hAnsi="Yu Gothic"/>
        <w:sz w:val="16"/>
        <w:szCs w:val="16"/>
      </w:rPr>
      <w:t xml:space="preserve">AI影響要因とリスク管理　</w:t>
    </w:r>
    <w:r>
      <w:rPr>
        <w:rFonts w:ascii="Yu Gothic" w:cs="Yu Gothic" w:eastAsia="Yu Gothic" w:hAnsi="Yu Gothi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40" w:hanging="280"/>
      </w:pPr>
    </w:lvl>
    <w:lvl w:ilvl="1" w:tentative="1">
      <w:start w:val="1"/>
      <w:numFmt w:val="bullet"/>
      <w:lvlText w:val="－"/>
      <w:lvlJc w:val="left"/>
      <w:pPr>
        <w:ind w:left="880" w:hanging="280"/>
      </w:pPr>
    </w:lvl>
  </w:abstractNum>
  <w:abstractNum w:abstractNumId="3" w15:restartNumberingAfterBreak="0">
    <w:multiLevelType w:val="hybridMultilevel"/>
    <w:lvl w:ilvl="0" w:tentative="1">
      <w:start w:val="1"/>
      <w:numFmt w:val="decimal"/>
      <w:lvlText w:val="%1."/>
      <w:lvlJc w:val="left"/>
      <w:pPr>
        <w:ind w:left="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2026-10-07T03:35:40.360Z</dcterms:created>
  <dcterms:modified xsi:type="dcterms:W3CDTF">2026-10-07T03:35:40.360Z</dcterms:modified>
</cp:coreProperties>
</file>

<file path=docProps/custom.xml><?xml version="1.0" encoding="utf-8"?>
<Properties xmlns="http://schemas.openxmlformats.org/officeDocument/2006/custom-properties" xmlns:vt="http://schemas.openxmlformats.org/officeDocument/2006/docPropsVTypes"/>
</file>