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Yu Mincho" w:cs="Yu Mincho" w:eastAsia="Yu Mincho" w:hAnsi="Yu Mincho"/>
          <w:sz w:val="18"/>
          <w:szCs w:val="18"/>
        </w:rPr>
        <w:t xml:space="preserve">がん薬物療法に伴う末梢神経障害診療ガイドライン 改訂版　第2章 総論　改訂原稿</w:t>
      </w:r>
    </w:p>
    <w:p>
      <w:pPr>
        <w:pStyle w:val="Title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A. CIPNの頻度</w:t>
      </w:r>
    </w:p>
    <w:p>
      <w:pPr>
        <w:spacing w:after="120"/>
      </w:pPr>
      <w:r>
        <w:rPr>
          <w:rFonts w:ascii="Yu Mincho" w:cs="Yu Mincho" w:eastAsia="Yu Mincho" w:hAnsi="Yu Mincho"/>
          <w:sz w:val="21"/>
          <w:szCs w:val="21"/>
        </w:rPr>
        <w:t xml:space="preserve">担当：内藤　／　2023年版 第2章 pp.10–12 の原文を起こしたもの</w:t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</w:rPr>
        <w:t xml:space="preserve">1. 改訂の進め方</w:t>
      </w:r>
    </w:p>
    <w:p>
      <w:pPr>
        <w:spacing w:after="120"/>
      </w:pPr>
      <w:r>
        <w:rPr>
          <w:rFonts w:ascii="Yu Mincho" w:cs="Yu Mincho" w:eastAsia="Yu Mincho" w:hAnsi="Yu Mincho"/>
          <w:sz w:val="21"/>
          <w:szCs w:val="21"/>
        </w:rPr>
        <w:t xml:space="preserve">「3. 2023年版 原文」を直接書き換えてください（変更履歴をオンにして編集）。2023年版以降の知見の追加、図表の追加、古い記述の削除が改訂の中心です。図表は下の提案から選んでも、独自に提案しても構いません。作図は事務局で行えるので、内容（項目・数値・順序）を指定してください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</w:tcPr>
          <w:p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項目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</w:tcPr>
          <w:p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記入欄（担当委員）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</w:tcPr>
          <w:p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改訂の要点（2023年版から何を変えるか）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</w:tcPr>
          <w:p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追加・更新する図表（下の提案から選ぶ／独自案）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</w:tcPr>
          <w:p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追加する文献（PMID）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</w:tcPr>
          <w:p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2023年版から削除する記述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</w:tcPr>
          <w:p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事務局への依頼（作図・データ収集など）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</w:rPr>
        <w:t xml:space="preserve">2. 図表の提案（事務局案）</w:t>
      </w:r>
    </w:p>
    <w:p>
      <w:pPr>
        <w:spacing w:after="120"/>
      </w:pPr>
      <w:r>
        <w:rPr>
          <w:rFonts w:ascii="Yu Mincho" w:cs="Yu Mincho" w:eastAsia="Yu Mincho" w:hAnsi="Yu Mincho"/>
          <w:sz w:val="21"/>
          <w:szCs w:val="21"/>
        </w:rPr>
        <w:t xml:space="preserve">2023年版に既にある図表：表1 代表的な薬剤によるCIPN、表2 CIPNの頻度（添付文書）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Mincho" w:cs="Yu Mincho" w:eastAsia="Yu Mincho" w:hAnsi="Yu Mincho"/>
          <w:sz w:val="21"/>
          <w:szCs w:val="21"/>
        </w:rPr>
        <w:t xml:space="preserve">図：薬剤別のCIPN発症頻度（添付文書値と主要臨床試験値を並べた横棒グラフ。Grade≧2/≧3を分けて表示）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Mincho" w:cs="Yu Mincho" w:eastAsia="Yu Mincho" w:hAnsi="Yu Mincho"/>
          <w:sz w:val="21"/>
          <w:szCs w:val="21"/>
        </w:rPr>
        <w:t xml:space="preserve">図：累積投与量とCIPN発症率の関係（オキサリプラチン・パクリタキセル・シスプラチンの用量反応曲線）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Mincho" w:cs="Yu Mincho" w:eastAsia="Yu Mincho" w:hAnsi="Yu Mincho"/>
          <w:sz w:val="21"/>
          <w:szCs w:val="21"/>
        </w:rPr>
        <w:t xml:space="preserve">表：表2の更新（2023年以降に承認された薬剤、ADC・免疫チェックポイント阻害薬の追加）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Mincho" w:cs="Yu Mincho" w:eastAsia="Yu Mincho" w:hAnsi="Yu Mincho"/>
          <w:sz w:val="21"/>
          <w:szCs w:val="21"/>
        </w:rPr>
        <w:t xml:space="preserve">図：治療終了後の残存率の推移（乳がん・大腸がんの長期観察研究から、6か月/1年/2年時点）</w:t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</w:rPr>
        <w:t xml:space="preserve">3. 2023年版 原文</w:t>
      </w:r>
    </w:p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</w:rPr>
        <w:t xml:space="preserve">A CIPN の頻度</w:t>
      </w:r>
    </w:p>
    <w:p>
      <w:pPr>
        <w:spacing w:after="120"/>
        <w:ind w:firstLine="210"/>
      </w:pPr>
      <w:r>
        <w:rPr>
          <w:rFonts w:ascii="Yu Mincho" w:cs="Yu Mincho" w:eastAsia="Yu Mincho" w:hAnsi="Yu Mincho"/>
          <w:sz w:val="21"/>
          <w:szCs w:val="21"/>
        </w:rPr>
        <w:t xml:space="preserve">CIPN の頻度は文献によりさまざまであり，対象疾患，使用薬剤や併用薬剤，薬剤使用量などにより大きく異なっている。また，併存症や生活習慣などによっても CIPN を発症する頻度は異なると考えられる。CIPN を発症しやすい薬剤としては，白金製剤，タキサン系製剤，ビンカアルカロイド系製剤，ボルテゾミブやサリドマイドが代表的である（表 1）</w:t>
      </w:r>
      <w:r>
        <w:rPr>
          <w:rFonts w:ascii="Yu Mincho" w:cs="Yu Mincho" w:eastAsia="Yu Mincho" w:hAnsi="Yu Mincho"/>
          <w:sz w:val="21"/>
          <w:szCs w:val="21"/>
          <w:vertAlign w:val="superscript"/>
        </w:rPr>
        <w:t xml:space="preserve">1)</w:t>
      </w:r>
      <w:r>
        <w:rPr>
          <w:rFonts w:ascii="Yu Mincho" w:cs="Yu Mincho" w:eastAsia="Yu Mincho" w:hAnsi="Yu Mincho"/>
          <w:sz w:val="21"/>
          <w:szCs w:val="21"/>
        </w:rPr>
        <w:t xml:space="preserve">。</w:t>
      </w:r>
    </w:p>
    <w:p>
      <w:pPr>
        <w:spacing w:after="120"/>
      </w:pPr>
      <w:r>
        <w:rPr>
          <w:rFonts w:ascii="Yu Mincho" w:cs="Yu Mincho" w:eastAsia="Yu Mincho" w:hAnsi="Yu Mincho"/>
          <w:i/>
          <w:iCs/>
          <w:color w:val="444444"/>
          <w:sz w:val="21"/>
          <w:szCs w:val="21"/>
        </w:rPr>
        <w:t xml:space="preserve">［表 1．代表的な薬剤による CIPN薬剤触覚・温令覚振動覚・関節覚神経障害性疼痛…］ 表・図の本文は末尾のページ画像を参照（テキストは参考）</w:t>
      </w:r>
    </w:p>
    <w:p>
      <w:pPr>
        <w:spacing w:after="120"/>
      </w:pPr>
      <w:r>
        <w:rPr>
          <w:rFonts w:ascii="Yu Mincho" w:cs="Yu Mincho" w:eastAsia="Yu Mincho" w:hAnsi="Yu Mincho"/>
          <w:i/>
          <w:iCs/>
          <w:color w:val="444444"/>
          <w:sz w:val="21"/>
          <w:szCs w:val="21"/>
        </w:rPr>
        <w:t xml:space="preserve">［表 2．CIPN の頻度（薬剤添付文書より）^2)^薬剤添付文書中のCIPN の…］ 表・図の本文は末尾のページ画像を参照（テキストは参考）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</w:rPr>
        <w:t xml:space="preserve">文献（2023年版）</w:t>
      </w:r>
    </w:p>
    <w:p>
      <w:pPr>
        <w:spacing w:after="120"/>
        <w:ind w:firstLine="210"/>
      </w:pPr>
      <w:r>
        <w:rPr>
          <w:rFonts w:ascii="Yu Mincho" w:cs="Yu Mincho" w:eastAsia="Yu Mincho" w:hAnsi="Yu Mincho"/>
          <w:sz w:val="21"/>
          <w:szCs w:val="21"/>
        </w:rPr>
        <w:t xml:space="preserve">1）Cavaletti G, Alberti P, Frigeni B, et al. Chemotherapy—induced neuropathy. Curr Treat Options Neurol.2011； 13： 180—90.［PMID： 21191824］</w:t>
      </w:r>
    </w:p>
    <w:p>
      <w:pPr>
        <w:spacing w:after="120"/>
        <w:ind w:firstLine="210"/>
      </w:pPr>
      <w:r>
        <w:rPr>
          <w:rFonts w:ascii="Yu Mincho" w:cs="Yu Mincho" w:eastAsia="Yu Mincho" w:hAnsi="Yu Mincho"/>
          <w:sz w:val="21"/>
          <w:szCs w:val="21"/>
        </w:rPr>
        <w:t xml:space="preserve">2）独立行政法人医薬品医療機器総合機構 医療用医薬品 情報検索．https：//www.pmda.go.jp/PmdaSearch/iyakuSearch/テガフール・ウラシル 頻度不明テガフール・ギメラシル・オテラシル頻度不明テモゾロミド 10％未満テラルビシン 0.1～5％未満トポテカン 5％未満トラベクテジン 5～20％未満トリフルリジン・チピラシル 5％未満ブレオマイシン 記載なしペメトレキセド 5～20％マイトマイシン C 記載なしリポソーマルドキソルビシン 5～30％未満レナリドミド 5.50％（文献 2 より）薬剤添付文書中のCIPN の頻度（％）太字：10％以上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</w:rPr>
        <w:t xml:space="preserve">4. 2023年版の図表（ページ画像・参照用）</w:t>
      </w:r>
    </w:p>
    <w:p>
      <w:pPr>
        <w:spacing w:after="120"/>
      </w:pPr>
      <w:r>
        <w:rPr>
          <w:rFonts w:ascii="Yu Mincho" w:cs="Yu Mincho" w:eastAsia="Yu Mincho" w:hAnsi="Yu Mincho"/>
          <w:sz w:val="21"/>
          <w:szCs w:val="21"/>
        </w:rPr>
        <w:t xml:space="preserve">2023年版 p.10</w:t>
      </w:r>
    </w:p>
    <w:p>
      <w:pPr>
        <w:jc w:val="center"/>
      </w:pPr>
      <w:r>
        <w:drawing>
          <wp:inline distT="0" distB="0" distL="0" distR="0">
            <wp:extent cx="4953000" cy="699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Mincho" w:cs="Yu Mincho" w:eastAsia="Yu Mincho" w:hAnsi="Yu Mincho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364913e8f89e1462f68685d76dd53188b0e0cb2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2026-09-29T14:51:02.010Z</dcterms:created>
  <dcterms:modified xsi:type="dcterms:W3CDTF">2026-09-29T14:51:02.010Z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