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Mincho" w:cs="Yu Mincho" w:eastAsia="Yu Mincho" w:hAnsi="Yu Mincho"/>
          <w:sz w:val="18"/>
          <w:szCs w:val="18"/>
        </w:rPr>
        <w:t xml:space="preserve">がん薬物療法に伴う末梢神経障害診療ガイドライン 改訂版　第2章 総論　改訂原稿</w:t>
      </w:r>
    </w:p>
    <w:p>
      <w:pPr>
        <w:pStyle w:val="Title"/>
      </w:pPr>
      <w:r>
        <w:rPr>
          <w:rFonts w:ascii="Yu Gothic" w:cs="Yu Gothic" w:eastAsia="Yu Gothic" w:hAnsi="Yu Gothic"/>
          <w:b/>
          <w:bCs/>
          <w:sz w:val="32"/>
          <w:szCs w:val="32"/>
        </w:rPr>
        <w:t xml:space="preserve">B. CIPNの症候学的分類</w:t>
      </w:r>
    </w:p>
    <w:p>
      <w:pPr>
        <w:spacing w:after="120"/>
      </w:pPr>
      <w:r>
        <w:rPr>
          <w:rFonts w:ascii="Yu Mincho" w:cs="Yu Mincho" w:eastAsia="Yu Mincho" w:hAnsi="Yu Mincho"/>
          <w:sz w:val="21"/>
          <w:szCs w:val="21"/>
        </w:rPr>
        <w:t xml:space="preserve">担当：松岡宏　／　2023年版 第2章 pp.13–13 の原文を起こしたもの</w:t>
      </w:r>
    </w:p>
    <w:p>
      <w:pPr>
        <w:pStyle w:val="Heading1"/>
        <w:spacing w:after="120" w:before="240"/>
      </w:pPr>
      <w:r>
        <w:rPr>
          <w:rFonts w:ascii="Yu Gothic" w:cs="Yu Gothic" w:eastAsia="Yu Gothic" w:hAnsi="Yu Gothic"/>
          <w:b/>
          <w:bCs/>
        </w:rPr>
        <w:t xml:space="preserve">1. 改訂の進め方</w:t>
      </w:r>
    </w:p>
    <w:p>
      <w:pPr>
        <w:spacing w:after="120"/>
      </w:pPr>
      <w:r>
        <w:rPr>
          <w:rFonts w:ascii="Yu Mincho" w:cs="Yu Mincho" w:eastAsia="Yu Mincho" w:hAnsi="Yu Mincho"/>
          <w:sz w:val="21"/>
          <w:szCs w:val="21"/>
        </w:rPr>
        <w:t xml:space="preserve">「3. 2023年版 原文」を直接書き換えてください（変更履歴をオンにして編集）。2023年版以降の知見の追加、図表の追加、古い記述の削除が改訂の中心です。図表は下の提案から選んでも、独自に提案しても構いません。作図は事務局で行えるので、内容（項目・数値・順序）を指定して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項目</w:t>
            </w:r>
          </w:p>
        </w:tc>
        <w:tc>
          <w:tcPr>
            <w:tcW w:type="dxa" w:w="676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記入欄（担当委員）</w:t>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改訂の要点（2023年版から何を変えるか）</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追加・更新する図表（下の提案から選ぶ／独自案）</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追加する文献（PMID）</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2023年版から削除する記述</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事務局への依頼（作図・データ収集など）</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bl>
    <w:p>
      <w:pPr>
        <w:pStyle w:val="Heading1"/>
        <w:spacing w:after="120" w:before="240"/>
      </w:pPr>
      <w:r>
        <w:rPr>
          <w:rFonts w:ascii="Yu Gothic" w:cs="Yu Gothic" w:eastAsia="Yu Gothic" w:hAnsi="Yu Gothic"/>
          <w:b/>
          <w:bCs/>
        </w:rPr>
        <w:t xml:space="preserve">2. 図表の提案（事務局案）</w:t>
      </w:r>
    </w:p>
    <w:p>
      <w:pPr>
        <w:spacing w:after="120"/>
      </w:pPr>
      <w:r>
        <w:rPr>
          <w:rFonts w:ascii="Yu Mincho" w:cs="Yu Mincho" w:eastAsia="Yu Mincho" w:hAnsi="Yu Mincho"/>
          <w:sz w:val="21"/>
          <w:szCs w:val="21"/>
        </w:rPr>
        <w:t xml:space="preserve">2023年版に既にある図表：なし</w:t>
      </w:r>
    </w:p>
    <w:p>
      <w:pPr>
        <w:pStyle w:val="ListParagraph"/>
        <w:numPr>
          <w:ilvl w:val="0"/>
          <w:numId w:val="2"/>
        </w:numPr>
        <w:spacing w:after="60"/>
      </w:pPr>
      <w:r>
        <w:rPr>
          <w:rFonts w:ascii="Yu Mincho" w:cs="Yu Mincho" w:eastAsia="Yu Mincho" w:hAnsi="Yu Mincho"/>
          <w:sz w:val="21"/>
          <w:szCs w:val="21"/>
        </w:rPr>
        <w:t xml:space="preserve">図：手袋靴下型分布の身体図（感覚障害の広がりをGrade別に塗り分け、白黒ハッチング）</w:t>
      </w:r>
    </w:p>
    <w:p>
      <w:pPr>
        <w:pStyle w:val="ListParagraph"/>
        <w:numPr>
          <w:ilvl w:val="0"/>
          <w:numId w:val="2"/>
        </w:numPr>
        <w:spacing w:after="60"/>
      </w:pPr>
      <w:r>
        <w:rPr>
          <w:rFonts w:ascii="Yu Mincho" w:cs="Yu Mincho" w:eastAsia="Yu Mincho" w:hAnsi="Yu Mincho"/>
          <w:sz w:val="21"/>
          <w:szCs w:val="21"/>
        </w:rPr>
        <w:t xml:space="preserve">図：症候の分類ツリー（感覚／運動／自律神経 × 陽性症状／陰性症状）</w:t>
      </w:r>
    </w:p>
    <w:p>
      <w:pPr>
        <w:pStyle w:val="ListParagraph"/>
        <w:numPr>
          <w:ilvl w:val="0"/>
          <w:numId w:val="2"/>
        </w:numPr>
        <w:spacing w:after="60"/>
      </w:pPr>
      <w:r>
        <w:rPr>
          <w:rFonts w:ascii="Yu Mincho" w:cs="Yu Mincho" w:eastAsia="Yu Mincho" w:hAnsi="Yu Mincho"/>
          <w:sz w:val="21"/>
          <w:szCs w:val="21"/>
        </w:rPr>
        <w:t xml:space="preserve">表：症候ごとの患者の訴え方の例と対応する評価項目（問診の手がかり）</w:t>
      </w:r>
    </w:p>
    <w:p>
      <w:pPr>
        <w:pStyle w:val="Heading1"/>
        <w:spacing w:after="120" w:before="240"/>
      </w:pPr>
      <w:r>
        <w:rPr>
          <w:rFonts w:ascii="Yu Gothic" w:cs="Yu Gothic" w:eastAsia="Yu Gothic" w:hAnsi="Yu Gothic"/>
          <w:b/>
          <w:bCs/>
        </w:rPr>
        <w:t xml:space="preserve">3. 2023年版 原文</w:t>
      </w:r>
    </w:p>
    <w:p>
      <w:pPr>
        <w:pStyle w:val="Heading3"/>
        <w:spacing w:after="120" w:before="240"/>
      </w:pPr>
      <w:r>
        <w:rPr>
          <w:rFonts w:ascii="Yu Gothic" w:cs="Yu Gothic" w:eastAsia="Yu Gothic" w:hAnsi="Yu Gothic"/>
          <w:b/>
          <w:bCs/>
        </w:rPr>
        <w:t xml:space="preserve">B CIPN の症候学的分類</w:t>
      </w:r>
    </w:p>
    <w:p>
      <w:pPr>
        <w:spacing w:after="120"/>
        <w:ind w:firstLine="210"/>
      </w:pPr>
      <w:r>
        <w:rPr>
          <w:rFonts w:ascii="Yu Mincho" w:cs="Yu Mincho" w:eastAsia="Yu Mincho" w:hAnsi="Yu Mincho"/>
          <w:sz w:val="21"/>
          <w:szCs w:val="21"/>
        </w:rPr>
        <w:t xml:space="preserve">CIPN は，症候学的に感覚神経障害，運動神経障害，自律神経障害に分類される。感覚神経障害の自覚症状は，numbness と表記されるしびれや感覚鈍麻，tingling と表記されるチクチク感やうずき感，ヒリヒリ感，pain 疼痛と表現される。特に手足末梢側，すなわち手袋や靴下をはいた部分に症状が表出することが多く，glove and stocking 型と呼ばれる1）。手足末梢以外では全身に電気が走るような痛みや腰痛などの訴えもある。それぞれの症状は通常混在しており，また，患者の表現型として同じ症候を異なる症状として訴えられることも多い。</w:t>
      </w:r>
    </w:p>
    <w:p>
      <w:pPr>
        <w:spacing w:after="120"/>
        <w:ind w:firstLine="210"/>
      </w:pPr>
      <w:r>
        <w:rPr>
          <w:rFonts w:ascii="Yu Mincho" w:cs="Yu Mincho" w:eastAsia="Yu Mincho" w:hAnsi="Yu Mincho"/>
          <w:sz w:val="21"/>
          <w:szCs w:val="21"/>
        </w:rPr>
        <w:t xml:space="preserve">よく聴取される表現型としては，鈍い感じ，遠い感じ（感覚鈍麻），嫌な感じ（ジセステジア），物に触れたときの普段と異なる感じ（パレステジア），足の裏に板が貼ってあるような感じ，触ってもわからない（感覚脱失），敏感に感じる（感覚過敏，アロディニア）などがある2）。</w:t>
      </w:r>
    </w:p>
    <w:p>
      <w:pPr>
        <w:spacing w:after="120"/>
        <w:ind w:firstLine="210"/>
      </w:pPr>
      <w:r>
        <w:rPr>
          <w:rFonts w:ascii="Yu Mincho" w:cs="Yu Mincho" w:eastAsia="Yu Mincho" w:hAnsi="Yu Mincho"/>
          <w:sz w:val="21"/>
          <w:szCs w:val="21"/>
        </w:rPr>
        <w:t xml:space="preserve">CIPN での疼痛は，原因となり得る抗がん薬によって引き起こされる疼痛であり，その他の体性感覚系の病変や疾患の除外は重要である。ただし，過去の原因薬剤により遅発性に出現する場合もあり，現在の治療薬に原因薬剤がなくとも CIPN と診断される事例も多数存在する。</w:t>
      </w:r>
    </w:p>
    <w:p>
      <w:pPr>
        <w:spacing w:after="120"/>
        <w:ind w:firstLine="210"/>
      </w:pPr>
      <w:r>
        <w:rPr>
          <w:rFonts w:ascii="Yu Mincho" w:cs="Yu Mincho" w:eastAsia="Yu Mincho" w:hAnsi="Yu Mincho"/>
          <w:sz w:val="21"/>
          <w:szCs w:val="21"/>
        </w:rPr>
        <w:t xml:space="preserve">運動神経障害は，感覚障害より少ないとされるが，四肢遠位部優位の筋萎縮と筋力の低下，弛緩性麻痺を呈する。四肢の腱反射の低下や消失がみられ，遠位にいくほど顕著となる。このため患者は歩行やバランスの悪化や転倒のリスク増大をきたす3）。運動神経障害もがんそのものの進行によるサルコペニアや骨量低下などと併存し，互いに増加・増強する場合が多い。また，CIPN の場合，運動神経障害単独で存在することはほぼなく，感覚障害をまったく伴わない運動障害が出現した場合は，ほかの疾患を念頭に置く必要がある4）。</w:t>
      </w:r>
    </w:p>
    <w:p>
      <w:pPr>
        <w:spacing w:after="120"/>
        <w:ind w:firstLine="210"/>
      </w:pPr>
      <w:r>
        <w:rPr>
          <w:rFonts w:ascii="Yu Mincho" w:cs="Yu Mincho" w:eastAsia="Yu Mincho" w:hAnsi="Yu Mincho"/>
          <w:sz w:val="21"/>
          <w:szCs w:val="21"/>
        </w:rPr>
        <w:t xml:space="preserve">自律神経障害では，血圧や腸管運動，不随意筋に障害が発生し，排尿障害や発汗異常，起立性低血圧，便秘，麻痺性イレウス等がみられることがあるが，感覚神経障害，運動神経障害と比べると発生率は低い5）。</w:t>
      </w:r>
    </w:p>
    <w:p>
      <w:pPr>
        <w:spacing w:after="120"/>
        <w:ind w:firstLine="210"/>
      </w:pPr>
      <w:r>
        <w:rPr>
          <w:rFonts w:ascii="Yu Mincho" w:cs="Yu Mincho" w:eastAsia="Yu Mincho" w:hAnsi="Yu Mincho"/>
          <w:sz w:val="21"/>
          <w:szCs w:val="21"/>
        </w:rPr>
        <w:t xml:space="preserve">（松岡 宏）</w:t>
      </w:r>
    </w:p>
    <w:p>
      <w:pPr>
        <w:pStyle w:val="Heading2"/>
        <w:spacing w:after="120" w:before="240"/>
      </w:pPr>
      <w:r>
        <w:rPr>
          <w:rFonts w:ascii="Yu Gothic" w:cs="Yu Gothic" w:eastAsia="Yu Gothic" w:hAnsi="Yu Gothic"/>
          <w:b/>
          <w:bCs/>
        </w:rPr>
        <w:t xml:space="preserve">文献（2023年版）</w:t>
      </w:r>
    </w:p>
    <w:p>
      <w:pPr>
        <w:spacing w:after="120"/>
        <w:ind w:firstLine="210"/>
      </w:pPr>
      <w:r>
        <w:rPr>
          <w:rFonts w:ascii="Yu Mincho" w:cs="Yu Mincho" w:eastAsia="Yu Mincho" w:hAnsi="Yu Mincho"/>
          <w:sz w:val="21"/>
          <w:szCs w:val="21"/>
        </w:rPr>
        <w:t xml:space="preserve">1）Chan A, Hertz DL, Morales M, et al. Biological predictors of chemotherapy—induced peripheral neu-ropathy（CIPN）： MASCC neurological complications working group overview. Support Care Cancer.2019； 27： 3729—37.［PMID： 31363906］</w:t>
      </w:r>
    </w:p>
    <w:p>
      <w:pPr>
        <w:spacing w:after="120"/>
        <w:ind w:firstLine="210"/>
      </w:pPr>
      <w:r>
        <w:rPr>
          <w:rFonts w:ascii="Yu Mincho" w:cs="Yu Mincho" w:eastAsia="Yu Mincho" w:hAnsi="Yu Mincho"/>
          <w:sz w:val="21"/>
          <w:szCs w:val="21"/>
        </w:rPr>
        <w:t xml:space="preserve">2）Scholz J, Finnerup NB, Attal N, et al； Classification Committee of the Neuropathic Pain Special Interest Group（NeuPSIG）. The IASP classification of chronic pain for ICD—11： chronic neuropathic pain. Pain.2019； 160： 53—9.［PMID： 30586071］</w:t>
      </w:r>
    </w:p>
    <w:p>
      <w:pPr>
        <w:spacing w:after="120"/>
        <w:ind w:firstLine="210"/>
      </w:pPr>
      <w:r>
        <w:rPr>
          <w:rFonts w:ascii="Yu Mincho" w:cs="Yu Mincho" w:eastAsia="Yu Mincho" w:hAnsi="Yu Mincho"/>
          <w:sz w:val="21"/>
          <w:szCs w:val="21"/>
        </w:rPr>
        <w:t xml:space="preserve">3）Zajączkowska R, Kocot—Kępska M, Leppert W, et al. Mechanisms of Chemotherapy—Induced Peripheral Neuropathy. Int J Mol Sci. 2019； 20： 1451.［PMID： 30909387］</w:t>
      </w:r>
    </w:p>
    <w:p>
      <w:pPr>
        <w:spacing w:after="120"/>
        <w:ind w:firstLine="210"/>
      </w:pPr>
      <w:r>
        <w:rPr>
          <w:rFonts w:ascii="Yu Mincho" w:cs="Yu Mincho" w:eastAsia="Yu Mincho" w:hAnsi="Yu Mincho"/>
          <w:sz w:val="21"/>
          <w:szCs w:val="21"/>
        </w:rPr>
        <w:t xml:space="preserve">4）Hausheer FH, Schilsky RL, Bain S, et al. Diagnosis, management, and evaluation of chemotherapy—induced peripheral neuropathy. Semin Oncol. 2006； 33： 15—49.［PMID： 16473643］</w:t>
      </w:r>
    </w:p>
    <w:p>
      <w:pPr>
        <w:spacing w:after="120"/>
        <w:ind w:firstLine="210"/>
      </w:pPr>
      <w:r>
        <w:rPr>
          <w:rFonts w:ascii="Yu Mincho" w:cs="Yu Mincho" w:eastAsia="Yu Mincho" w:hAnsi="Yu Mincho"/>
          <w:sz w:val="21"/>
          <w:szCs w:val="21"/>
        </w:rPr>
        <w:t xml:space="preserve">5）Mols F, van de Poll—Franse LV, Vreugdenhil G, et al. Reference data of the European Organisation for Research and Treatment of Cancer（EORTC）QLQ—CIPN20 Questionnaire in the general Dutch popula-tion. Eur J Cancer. 2016； 69： 28—38.［PMID： 27814471］総論章</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2026-09-29T14:51:02.031Z</dcterms:created>
  <dcterms:modified xsi:type="dcterms:W3CDTF">2026-09-29T14:51:02.031Z</dcterms:modified>
</cp:coreProperties>
</file>

<file path=docProps/custom.xml><?xml version="1.0" encoding="utf-8"?>
<Properties xmlns="http://schemas.openxmlformats.org/officeDocument/2006/custom-properties" xmlns:vt="http://schemas.openxmlformats.org/officeDocument/2006/docPropsVTypes"/>
</file>