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Mincho" w:cs="Yu Mincho" w:eastAsia="Yu Mincho" w:hAnsi="Yu Mincho"/>
          <w:sz w:val="18"/>
          <w:szCs w:val="18"/>
        </w:rPr>
        <w:t xml:space="preserve">がん薬物療法に伴う末梢神経障害診療ガイドライン 改訂版　第2章 総論　改訂原稿</w:t>
      </w:r>
    </w:p>
    <w:p>
      <w:pPr>
        <w:pStyle w:val="Title"/>
      </w:pPr>
      <w:r>
        <w:rPr>
          <w:rFonts w:ascii="Yu Gothic" w:cs="Yu Gothic" w:eastAsia="Yu Gothic" w:hAnsi="Yu Gothic"/>
          <w:b/>
          <w:bCs/>
          <w:sz w:val="32"/>
          <w:szCs w:val="32"/>
        </w:rPr>
        <w:t xml:space="preserve">C. 病理組織学的分類と症状</w:t>
      </w:r>
    </w:p>
    <w:p>
      <w:pPr>
        <w:spacing w:after="120"/>
      </w:pPr>
      <w:r>
        <w:rPr>
          <w:rFonts w:ascii="Yu Mincho" w:cs="Yu Mincho" w:eastAsia="Yu Mincho" w:hAnsi="Yu Mincho"/>
          <w:sz w:val="21"/>
          <w:szCs w:val="21"/>
        </w:rPr>
        <w:t xml:space="preserve">担当：武井（前回 平山）　／　2023年版 第2章 pp.14–14 の原文を起こしたもの</w:t>
      </w:r>
    </w:p>
    <w:p>
      <w:pPr>
        <w:pStyle w:val="Heading1"/>
        <w:spacing w:after="120" w:before="240"/>
      </w:pPr>
      <w:r>
        <w:rPr>
          <w:rFonts w:ascii="Yu Gothic" w:cs="Yu Gothic" w:eastAsia="Yu Gothic" w:hAnsi="Yu Gothic"/>
          <w:b/>
          <w:bCs/>
        </w:rPr>
        <w:t xml:space="preserve">1. 改訂の進め方</w:t>
      </w:r>
    </w:p>
    <w:p>
      <w:pPr>
        <w:spacing w:after="120"/>
      </w:pPr>
      <w:r>
        <w:rPr>
          <w:rFonts w:ascii="Yu Mincho" w:cs="Yu Mincho" w:eastAsia="Yu Mincho" w:hAnsi="Yu Mincho"/>
          <w:sz w:val="21"/>
          <w:szCs w:val="21"/>
        </w:rPr>
        <w:t xml:space="preserve">「3. 2023年版 原文」を直接書き換えてください（変更履歴をオンにして編集）。2023年版以降の知見の追加、図表の追加、古い記述の削除が改訂の中心です。図表は下の提案から選んでも、独自に提案しても構いません。作図は事務局で行えるので、内容（項目・数値・順序）を指定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項目</w:t>
            </w:r>
          </w:p>
        </w:tc>
        <w:tc>
          <w:tcPr>
            <w:tcW w:type="dxa" w:w="676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記入欄（担当委員）</w:t>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改訂の要点（2023年版から何を変えるか）</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追加・更新する図表（下の提案から選ぶ／独自案）</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追加する文献（PMID）</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2023年版から削除する記述</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事務局への依頼（作図・データ収集など）</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bl>
    <w:p>
      <w:pPr>
        <w:pStyle w:val="Heading1"/>
        <w:spacing w:after="120" w:before="240"/>
      </w:pPr>
      <w:r>
        <w:rPr>
          <w:rFonts w:ascii="Yu Gothic" w:cs="Yu Gothic" w:eastAsia="Yu Gothic" w:hAnsi="Yu Gothic"/>
          <w:b/>
          <w:bCs/>
        </w:rPr>
        <w:t xml:space="preserve">2. 図表の提案（事務局案）</w:t>
      </w:r>
    </w:p>
    <w:p>
      <w:pPr>
        <w:spacing w:after="120"/>
      </w:pPr>
      <w:r>
        <w:rPr>
          <w:rFonts w:ascii="Yu Mincho" w:cs="Yu Mincho" w:eastAsia="Yu Mincho" w:hAnsi="Yu Mincho"/>
          <w:sz w:val="21"/>
          <w:szCs w:val="21"/>
        </w:rPr>
        <w:t xml:space="preserve">2023年版に既にある図表：なし</w:t>
      </w:r>
    </w:p>
    <w:p>
      <w:pPr>
        <w:pStyle w:val="ListParagraph"/>
        <w:numPr>
          <w:ilvl w:val="0"/>
          <w:numId w:val="2"/>
        </w:numPr>
        <w:spacing w:after="60"/>
      </w:pPr>
      <w:r>
        <w:rPr>
          <w:rFonts w:ascii="Yu Mincho" w:cs="Yu Mincho" w:eastAsia="Yu Mincho" w:hAnsi="Yu Mincho"/>
          <w:sz w:val="21"/>
          <w:szCs w:val="21"/>
        </w:rPr>
        <w:t xml:space="preserve">図：障害部位の模式図（後根神経節・軸索・ミエリン・ミトコンドリア・微小管）と各薬剤の主な標的</w:t>
      </w:r>
    </w:p>
    <w:p>
      <w:pPr>
        <w:pStyle w:val="ListParagraph"/>
        <w:numPr>
          <w:ilvl w:val="0"/>
          <w:numId w:val="2"/>
        </w:numPr>
        <w:spacing w:after="60"/>
      </w:pPr>
      <w:r>
        <w:rPr>
          <w:rFonts w:ascii="Yu Mincho" w:cs="Yu Mincho" w:eastAsia="Yu Mincho" w:hAnsi="Yu Mincho"/>
          <w:sz w:val="21"/>
          <w:szCs w:val="21"/>
        </w:rPr>
        <w:t xml:space="preserve">表：薬剤クラス別の病理学的分類（神経細胞体障害型／軸索障害型／脱髄型）と臨床像・回復性の対応</w:t>
      </w:r>
    </w:p>
    <w:p>
      <w:pPr>
        <w:pStyle w:val="ListParagraph"/>
        <w:numPr>
          <w:ilvl w:val="0"/>
          <w:numId w:val="2"/>
        </w:numPr>
        <w:spacing w:after="60"/>
      </w:pPr>
      <w:r>
        <w:rPr>
          <w:rFonts w:ascii="Yu Mincho" w:cs="Yu Mincho" w:eastAsia="Yu Mincho" w:hAnsi="Yu Mincho"/>
          <w:sz w:val="21"/>
          <w:szCs w:val="21"/>
        </w:rPr>
        <w:t xml:space="preserve">図：症状出現から回復までの時間経過（薬剤クラス別の模式タイムライン、coastingを含む）</w:t>
      </w:r>
    </w:p>
    <w:p>
      <w:pPr>
        <w:pStyle w:val="Heading1"/>
        <w:spacing w:after="120" w:before="240"/>
      </w:pPr>
      <w:r>
        <w:rPr>
          <w:rFonts w:ascii="Yu Gothic" w:cs="Yu Gothic" w:eastAsia="Yu Gothic" w:hAnsi="Yu Gothic"/>
          <w:b/>
          <w:bCs/>
        </w:rPr>
        <w:t xml:space="preserve">3. 2023年版 原文</w:t>
      </w:r>
    </w:p>
    <w:p>
      <w:pPr>
        <w:pStyle w:val="Heading3"/>
        <w:spacing w:after="120" w:before="240"/>
      </w:pPr>
      <w:r>
        <w:rPr>
          <w:rFonts w:ascii="Yu Gothic" w:cs="Yu Gothic" w:eastAsia="Yu Gothic" w:hAnsi="Yu Gothic"/>
          <w:b/>
          <w:bCs/>
        </w:rPr>
        <w:t xml:space="preserve">C 病理組織学的分類と症状</w:t>
      </w:r>
    </w:p>
    <w:p>
      <w:pPr>
        <w:spacing w:after="120"/>
        <w:ind w:firstLine="210"/>
      </w:pPr>
      <w:r>
        <w:rPr>
          <w:rFonts w:ascii="Yu Mincho" w:cs="Yu Mincho" w:eastAsia="Yu Mincho" w:hAnsi="Yu Mincho"/>
          <w:sz w:val="21"/>
          <w:szCs w:val="21"/>
        </w:rPr>
        <w:t xml:space="preserve">CIPN の病理学的所見としては軸索障害（axonopathy），神経細胞体障害（neuronopathy），髄鞘障害（myelinopathy）に分類される。</w:t>
      </w:r>
    </w:p>
    <w:p>
      <w:pPr>
        <w:spacing w:after="120"/>
        <w:ind w:firstLine="210"/>
      </w:pPr>
      <w:r>
        <w:rPr>
          <w:rFonts w:ascii="Yu Mincho" w:cs="Yu Mincho" w:eastAsia="Yu Mincho" w:hAnsi="Yu Mincho"/>
          <w:sz w:val="21"/>
          <w:szCs w:val="21"/>
        </w:rPr>
        <w:t xml:space="preserve">軸索障害は CIPN の中で最も多くみられる障害である。神経細胞体は比較的保たれるが，二次的に髄鞘（Schwann細胞）が障害される場合もある。</w:t>
      </w:r>
    </w:p>
    <w:p>
      <w:pPr>
        <w:spacing w:after="120"/>
        <w:ind w:firstLine="210"/>
      </w:pPr>
      <w:r>
        <w:rPr>
          <w:rFonts w:ascii="Yu Mincho" w:cs="Yu Mincho" w:eastAsia="Yu Mincho" w:hAnsi="Yu Mincho"/>
          <w:sz w:val="21"/>
          <w:szCs w:val="21"/>
        </w:rPr>
        <w:t xml:space="preserve">一般的には太く長い軸索から障害が発生する。臨床的には四肢末端から始まる glove and stocking 型の感覚障害を呈することが多い。代表的な薬剤としては，微小管障害作用を有するビンカアルカロイド系やタキサン系抗がん薬などが挙げられる。</w:t>
      </w:r>
    </w:p>
    <w:p>
      <w:pPr>
        <w:spacing w:after="120"/>
        <w:ind w:firstLine="210"/>
      </w:pPr>
      <w:r>
        <w:rPr>
          <w:rFonts w:ascii="Yu Mincho" w:cs="Yu Mincho" w:eastAsia="Yu Mincho" w:hAnsi="Yu Mincho"/>
          <w:sz w:val="21"/>
          <w:szCs w:val="21"/>
        </w:rPr>
        <w:t xml:space="preserve">神経細胞体障害は病変の主座が細胞体であり，主に脊髄後根神経節細胞の細胞死によって発生し，軸索や髄鞘も二次的に障害される。軸索の短い神経細胞体も障害されるため感覚障害は四肢末端とともに体幹や顔面にも発生する。代表的薬剤としてはオキサリプラチンやシスプラチンなどの白金製剤がある。</w:t>
      </w:r>
    </w:p>
    <w:p>
      <w:pPr>
        <w:spacing w:after="120"/>
        <w:ind w:firstLine="210"/>
      </w:pPr>
      <w:r>
        <w:rPr>
          <w:rFonts w:ascii="Yu Mincho" w:cs="Yu Mincho" w:eastAsia="Yu Mincho" w:hAnsi="Yu Mincho"/>
          <w:sz w:val="21"/>
          <w:szCs w:val="21"/>
        </w:rPr>
        <w:t xml:space="preserve">髄鞘障害はインターフェロンなどで誘発されるが，最近は抗腫瘍薬としてインターフェロンが投与されることがほとんどなくなったので詳細は省略する。</w:t>
      </w:r>
    </w:p>
    <w:p>
      <w:pPr>
        <w:spacing w:after="120"/>
        <w:ind w:firstLine="210"/>
      </w:pPr>
      <w:r>
        <w:rPr>
          <w:rFonts w:ascii="Yu Mincho" w:cs="Yu Mincho" w:eastAsia="Yu Mincho" w:hAnsi="Yu Mincho"/>
          <w:sz w:val="21"/>
          <w:szCs w:val="21"/>
        </w:rPr>
        <w:t xml:space="preserve">薬剤中止後の回復の可能性については，軸索障害を呈する薬剤では細胞体が保たれているため，早期の薬剤中止により，細胞体障害の薬剤と比べて神経障害からの回復が期待できると推測されている。しかし検索した限りでは，これを裏付けるエビデンスはない。そもそも，前治療，後治療の影響もあり，投与量，投与期間も症例ごとに異なるため，神経障害からの回復の容易さを純粋に薬剤別に比較するのは困難と思われる。また，白金製剤は神経細胞体を障害するゆえに薬剤中止後も回復が困難とする説もあるが，実際にはオキサリプラチンによる神経障害でも 80％の患者は回復し，また 40％の患者は 8 カ月後には完全に回復すると報告されており，病理学的所見と神経障害からの回復は必ずしも関連しないように思われる1）。</w:t>
      </w:r>
    </w:p>
    <w:p>
      <w:pPr>
        <w:spacing w:after="120"/>
        <w:ind w:firstLine="210"/>
      </w:pPr>
      <w:r>
        <w:rPr>
          <w:rFonts w:ascii="Yu Mincho" w:cs="Yu Mincho" w:eastAsia="Yu Mincho" w:hAnsi="Yu Mincho"/>
          <w:sz w:val="21"/>
          <w:szCs w:val="21"/>
        </w:rPr>
        <w:t xml:space="preserve">（平山 泰生）</w:t>
      </w:r>
    </w:p>
    <w:p>
      <w:pPr>
        <w:pStyle w:val="Heading2"/>
        <w:spacing w:after="120" w:before="240"/>
      </w:pPr>
      <w:r>
        <w:rPr>
          <w:rFonts w:ascii="Yu Gothic" w:cs="Yu Gothic" w:eastAsia="Yu Gothic" w:hAnsi="Yu Gothic"/>
          <w:b/>
          <w:bCs/>
        </w:rPr>
        <w:t xml:space="preserve">文献（2023年版）</w:t>
      </w:r>
    </w:p>
    <w:p>
      <w:pPr>
        <w:spacing w:after="120"/>
        <w:ind w:firstLine="210"/>
      </w:pPr>
      <w:r>
        <w:rPr>
          <w:rFonts w:ascii="Yu Mincho" w:cs="Yu Mincho" w:eastAsia="Yu Mincho" w:hAnsi="Yu Mincho"/>
          <w:sz w:val="21"/>
          <w:szCs w:val="21"/>
        </w:rPr>
        <w:t xml:space="preserve">1）Argyriou AA, Bruna J, Marmiroli P, et al. Chemotherapy—induced peripheral neurotoxicity（CIPN）： an update. Crit Rev Oncol Hematol. 2012； 82： 51—77.［PMID： 21908200］</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2026-09-29T14:51:02.041Z</dcterms:created>
  <dcterms:modified xsi:type="dcterms:W3CDTF">2026-09-29T14:51:02.041Z</dcterms:modified>
</cp:coreProperties>
</file>

<file path=docProps/custom.xml><?xml version="1.0" encoding="utf-8"?>
<Properties xmlns="http://schemas.openxmlformats.org/officeDocument/2006/custom-properties" xmlns:vt="http://schemas.openxmlformats.org/officeDocument/2006/docPropsVTypes"/>
</file>