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Yu Mincho" w:cs="Yu Mincho" w:eastAsia="Yu Mincho" w:hAnsi="Yu Mincho"/>
          <w:sz w:val="18"/>
          <w:szCs w:val="18"/>
        </w:rPr>
        <w:t xml:space="preserve">がん薬物療法に伴う末梢神経障害診療ガイドライン 改訂版　第2章 総論　改訂原稿</w:t>
      </w:r>
    </w:p>
    <w:p>
      <w:pPr>
        <w:pStyle w:val="Title"/>
      </w:pPr>
      <w:r>
        <w:rPr>
          <w:rFonts w:ascii="Yu Gothic" w:cs="Yu Gothic" w:eastAsia="Yu Gothic" w:hAnsi="Yu Gothic"/>
          <w:b/>
          <w:bCs/>
          <w:sz w:val="32"/>
          <w:szCs w:val="32"/>
        </w:rPr>
        <w:t xml:space="preserve">E. CIPNのリスク因子</w:t>
      </w:r>
    </w:p>
    <w:p>
      <w:pPr>
        <w:spacing w:after="120"/>
      </w:pPr>
      <w:r>
        <w:rPr>
          <w:rFonts w:ascii="Yu Mincho" w:cs="Yu Mincho" w:eastAsia="Yu Mincho" w:hAnsi="Yu Mincho"/>
          <w:sz w:val="21"/>
          <w:szCs w:val="21"/>
        </w:rPr>
        <w:t xml:space="preserve">担当：宇和川　／　2023年版 第2章 pp.17–18 の原文を起こしたもの</w:t>
      </w:r>
    </w:p>
    <w:p>
      <w:pPr>
        <w:pStyle w:val="Heading1"/>
        <w:spacing w:after="120" w:before="240"/>
      </w:pPr>
      <w:r>
        <w:rPr>
          <w:rFonts w:ascii="Yu Gothic" w:cs="Yu Gothic" w:eastAsia="Yu Gothic" w:hAnsi="Yu Gothic"/>
          <w:b/>
          <w:bCs/>
        </w:rPr>
        <w:t xml:space="preserve">1. 改訂の進め方</w:t>
      </w:r>
    </w:p>
    <w:p>
      <w:pPr>
        <w:spacing w:after="120"/>
      </w:pPr>
      <w:r>
        <w:rPr>
          <w:rFonts w:ascii="Yu Mincho" w:cs="Yu Mincho" w:eastAsia="Yu Mincho" w:hAnsi="Yu Mincho"/>
          <w:sz w:val="21"/>
          <w:szCs w:val="21"/>
        </w:rPr>
        <w:t xml:space="preserve">「3. 2023年版 原文」を直接書き換えてください（変更履歴をオンにして編集）。2023年版以降の知見の追加、図表の追加、古い記述の削除が改訂の中心です。図表は下の提案から選んでも、独自に提案しても構いません。作図は事務局で行えるので、内容（項目・数値・順序）を指定してくださ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000000" w:sz="4"/>
              <w:left w:val="single" w:color="000000" w:sz="4"/>
              <w:bottom w:val="single" w:color="000000" w:sz="4"/>
              <w:right w:val="single" w:color="000000" w:sz="4"/>
            </w:tcBorders>
            <w:shd w:fill="EDEDED" w:color="auto" w:val="clear"/>
          </w:tcPr>
          <w:p>
            <w:r>
              <w:rPr>
                <w:rFonts w:ascii="Yu Mincho" w:cs="Yu Mincho" w:eastAsia="Yu Mincho" w:hAnsi="Yu Mincho"/>
                <w:b/>
                <w:bCs/>
                <w:sz w:val="21"/>
                <w:szCs w:val="21"/>
              </w:rPr>
              <w:t xml:space="preserve">項目</w:t>
            </w:r>
          </w:p>
        </w:tc>
        <w:tc>
          <w:tcPr>
            <w:tcW w:type="dxa" w:w="6760"/>
            <w:tcBorders>
              <w:top w:val="single" w:color="000000" w:sz="4"/>
              <w:left w:val="single" w:color="000000" w:sz="4"/>
              <w:bottom w:val="single" w:color="000000" w:sz="4"/>
              <w:right w:val="single" w:color="000000" w:sz="4"/>
            </w:tcBorders>
            <w:shd w:fill="EDEDED" w:color="auto" w:val="clear"/>
          </w:tcPr>
          <w:p>
            <w:r>
              <w:rPr>
                <w:rFonts w:ascii="Yu Mincho" w:cs="Yu Mincho" w:eastAsia="Yu Mincho" w:hAnsi="Yu Mincho"/>
                <w:b/>
                <w:bCs/>
                <w:sz w:val="21"/>
                <w:szCs w:val="21"/>
              </w:rPr>
              <w:t xml:space="preserve">記入欄（担当委員）</w:t>
            </w:r>
          </w:p>
        </w:tc>
      </w:tr>
      <w:tr>
        <w:tc>
          <w:tcPr>
            <w:tcW w:type="dxa" w:w="2600"/>
            <w:tcBorders>
              <w:top w:val="single" w:color="000000" w:sz="4"/>
              <w:left w:val="single" w:color="000000" w:sz="4"/>
              <w:bottom w:val="single" w:color="000000" w:sz="4"/>
              <w:right w:val="single" w:color="000000" w:sz="4"/>
            </w:tcBorders>
            <w:shd w:fill="EDEDED" w:color="auto" w:val="clear"/>
          </w:tcPr>
          <w:p>
            <w:r>
              <w:rPr>
                <w:rFonts w:ascii="Yu Mincho" w:cs="Yu Mincho" w:eastAsia="Yu Mincho" w:hAnsi="Yu Mincho"/>
                <w:b/>
                <w:bCs/>
                <w:sz w:val="21"/>
                <w:szCs w:val="21"/>
              </w:rPr>
              <w:t xml:space="preserve">改訂の要点（2023年版から何を変えるか）</w:t>
            </w:r>
          </w:p>
        </w:tc>
        <w:tc>
          <w:tcPr>
            <w:tcW w:type="dxa" w:w="6760"/>
            <w:tcBorders>
              <w:top w:val="single" w:color="000000" w:sz="4"/>
              <w:left w:val="single" w:color="000000" w:sz="4"/>
              <w:bottom w:val="single" w:color="000000" w:sz="4"/>
              <w:right w:val="single" w:color="000000" w:sz="4"/>
            </w:tcBorders>
          </w:tcPr>
          <w:p>
            <w:r>
              <w:rPr>
                <w:rFonts w:ascii="Yu Mincho" w:cs="Yu Mincho" w:eastAsia="Yu Mincho" w:hAnsi="Yu Mincho"/>
                <w:b w:val="false"/>
                <w:bCs w:val="false"/>
                <w:sz w:val="21"/>
                <w:szCs w:val="21"/>
              </w:rPr>
              <w:t xml:space="preserve"/>
            </w:r>
          </w:p>
        </w:tc>
      </w:tr>
      <w:tr>
        <w:tc>
          <w:tcPr>
            <w:tcW w:type="dxa" w:w="2600"/>
            <w:tcBorders>
              <w:top w:val="single" w:color="000000" w:sz="4"/>
              <w:left w:val="single" w:color="000000" w:sz="4"/>
              <w:bottom w:val="single" w:color="000000" w:sz="4"/>
              <w:right w:val="single" w:color="000000" w:sz="4"/>
            </w:tcBorders>
            <w:shd w:fill="EDEDED" w:color="auto" w:val="clear"/>
          </w:tcPr>
          <w:p>
            <w:r>
              <w:rPr>
                <w:rFonts w:ascii="Yu Mincho" w:cs="Yu Mincho" w:eastAsia="Yu Mincho" w:hAnsi="Yu Mincho"/>
                <w:b/>
                <w:bCs/>
                <w:sz w:val="21"/>
                <w:szCs w:val="21"/>
              </w:rPr>
              <w:t xml:space="preserve">追加・更新する図表（下の提案から選ぶ／独自案）</w:t>
            </w:r>
          </w:p>
        </w:tc>
        <w:tc>
          <w:tcPr>
            <w:tcW w:type="dxa" w:w="6760"/>
            <w:tcBorders>
              <w:top w:val="single" w:color="000000" w:sz="4"/>
              <w:left w:val="single" w:color="000000" w:sz="4"/>
              <w:bottom w:val="single" w:color="000000" w:sz="4"/>
              <w:right w:val="single" w:color="000000" w:sz="4"/>
            </w:tcBorders>
          </w:tcPr>
          <w:p>
            <w:r>
              <w:rPr>
                <w:rFonts w:ascii="Yu Mincho" w:cs="Yu Mincho" w:eastAsia="Yu Mincho" w:hAnsi="Yu Mincho"/>
                <w:b w:val="false"/>
                <w:bCs w:val="false"/>
                <w:sz w:val="21"/>
                <w:szCs w:val="21"/>
              </w:rPr>
              <w:t xml:space="preserve"/>
            </w:r>
          </w:p>
        </w:tc>
      </w:tr>
      <w:tr>
        <w:tc>
          <w:tcPr>
            <w:tcW w:type="dxa" w:w="2600"/>
            <w:tcBorders>
              <w:top w:val="single" w:color="000000" w:sz="4"/>
              <w:left w:val="single" w:color="000000" w:sz="4"/>
              <w:bottom w:val="single" w:color="000000" w:sz="4"/>
              <w:right w:val="single" w:color="000000" w:sz="4"/>
            </w:tcBorders>
            <w:shd w:fill="EDEDED" w:color="auto" w:val="clear"/>
          </w:tcPr>
          <w:p>
            <w:r>
              <w:rPr>
                <w:rFonts w:ascii="Yu Mincho" w:cs="Yu Mincho" w:eastAsia="Yu Mincho" w:hAnsi="Yu Mincho"/>
                <w:b/>
                <w:bCs/>
                <w:sz w:val="21"/>
                <w:szCs w:val="21"/>
              </w:rPr>
              <w:t xml:space="preserve">追加する文献（PMID）</w:t>
            </w:r>
          </w:p>
        </w:tc>
        <w:tc>
          <w:tcPr>
            <w:tcW w:type="dxa" w:w="6760"/>
            <w:tcBorders>
              <w:top w:val="single" w:color="000000" w:sz="4"/>
              <w:left w:val="single" w:color="000000" w:sz="4"/>
              <w:bottom w:val="single" w:color="000000" w:sz="4"/>
              <w:right w:val="single" w:color="000000" w:sz="4"/>
            </w:tcBorders>
          </w:tcPr>
          <w:p>
            <w:r>
              <w:rPr>
                <w:rFonts w:ascii="Yu Mincho" w:cs="Yu Mincho" w:eastAsia="Yu Mincho" w:hAnsi="Yu Mincho"/>
                <w:b w:val="false"/>
                <w:bCs w:val="false"/>
                <w:sz w:val="21"/>
                <w:szCs w:val="21"/>
              </w:rPr>
              <w:t xml:space="preserve"/>
            </w:r>
          </w:p>
        </w:tc>
      </w:tr>
      <w:tr>
        <w:tc>
          <w:tcPr>
            <w:tcW w:type="dxa" w:w="2600"/>
            <w:tcBorders>
              <w:top w:val="single" w:color="000000" w:sz="4"/>
              <w:left w:val="single" w:color="000000" w:sz="4"/>
              <w:bottom w:val="single" w:color="000000" w:sz="4"/>
              <w:right w:val="single" w:color="000000" w:sz="4"/>
            </w:tcBorders>
            <w:shd w:fill="EDEDED" w:color="auto" w:val="clear"/>
          </w:tcPr>
          <w:p>
            <w:r>
              <w:rPr>
                <w:rFonts w:ascii="Yu Mincho" w:cs="Yu Mincho" w:eastAsia="Yu Mincho" w:hAnsi="Yu Mincho"/>
                <w:b/>
                <w:bCs/>
                <w:sz w:val="21"/>
                <w:szCs w:val="21"/>
              </w:rPr>
              <w:t xml:space="preserve">2023年版から削除する記述</w:t>
            </w:r>
          </w:p>
        </w:tc>
        <w:tc>
          <w:tcPr>
            <w:tcW w:type="dxa" w:w="6760"/>
            <w:tcBorders>
              <w:top w:val="single" w:color="000000" w:sz="4"/>
              <w:left w:val="single" w:color="000000" w:sz="4"/>
              <w:bottom w:val="single" w:color="000000" w:sz="4"/>
              <w:right w:val="single" w:color="000000" w:sz="4"/>
            </w:tcBorders>
          </w:tcPr>
          <w:p>
            <w:r>
              <w:rPr>
                <w:rFonts w:ascii="Yu Mincho" w:cs="Yu Mincho" w:eastAsia="Yu Mincho" w:hAnsi="Yu Mincho"/>
                <w:b w:val="false"/>
                <w:bCs w:val="false"/>
                <w:sz w:val="21"/>
                <w:szCs w:val="21"/>
              </w:rPr>
              <w:t xml:space="preserve"/>
            </w:r>
          </w:p>
        </w:tc>
      </w:tr>
      <w:tr>
        <w:tc>
          <w:tcPr>
            <w:tcW w:type="dxa" w:w="2600"/>
            <w:tcBorders>
              <w:top w:val="single" w:color="000000" w:sz="4"/>
              <w:left w:val="single" w:color="000000" w:sz="4"/>
              <w:bottom w:val="single" w:color="000000" w:sz="4"/>
              <w:right w:val="single" w:color="000000" w:sz="4"/>
            </w:tcBorders>
            <w:shd w:fill="EDEDED" w:color="auto" w:val="clear"/>
          </w:tcPr>
          <w:p>
            <w:r>
              <w:rPr>
                <w:rFonts w:ascii="Yu Mincho" w:cs="Yu Mincho" w:eastAsia="Yu Mincho" w:hAnsi="Yu Mincho"/>
                <w:b/>
                <w:bCs/>
                <w:sz w:val="21"/>
                <w:szCs w:val="21"/>
              </w:rPr>
              <w:t xml:space="preserve">事務局への依頼（作図・データ収集など）</w:t>
            </w:r>
          </w:p>
        </w:tc>
        <w:tc>
          <w:tcPr>
            <w:tcW w:type="dxa" w:w="6760"/>
            <w:tcBorders>
              <w:top w:val="single" w:color="000000" w:sz="4"/>
              <w:left w:val="single" w:color="000000" w:sz="4"/>
              <w:bottom w:val="single" w:color="000000" w:sz="4"/>
              <w:right w:val="single" w:color="000000" w:sz="4"/>
            </w:tcBorders>
          </w:tcPr>
          <w:p>
            <w:r>
              <w:rPr>
                <w:rFonts w:ascii="Yu Mincho" w:cs="Yu Mincho" w:eastAsia="Yu Mincho" w:hAnsi="Yu Mincho"/>
                <w:b w:val="false"/>
                <w:bCs w:val="false"/>
                <w:sz w:val="21"/>
                <w:szCs w:val="21"/>
              </w:rPr>
              <w:t xml:space="preserve"/>
            </w:r>
          </w:p>
        </w:tc>
      </w:tr>
    </w:tbl>
    <w:p>
      <w:pPr>
        <w:pStyle w:val="Heading1"/>
        <w:spacing w:after="120" w:before="240"/>
      </w:pPr>
      <w:r>
        <w:rPr>
          <w:rFonts w:ascii="Yu Gothic" w:cs="Yu Gothic" w:eastAsia="Yu Gothic" w:hAnsi="Yu Gothic"/>
          <w:b/>
          <w:bCs/>
        </w:rPr>
        <w:t xml:space="preserve">2. 図表の提案（事務局案）</w:t>
      </w:r>
    </w:p>
    <w:p>
      <w:pPr>
        <w:spacing w:after="120"/>
      </w:pPr>
      <w:r>
        <w:rPr>
          <w:rFonts w:ascii="Yu Mincho" w:cs="Yu Mincho" w:eastAsia="Yu Mincho" w:hAnsi="Yu Mincho"/>
          <w:sz w:val="21"/>
          <w:szCs w:val="21"/>
        </w:rPr>
        <w:t xml:space="preserve">2023年版に既にある図表：なし</w:t>
      </w:r>
    </w:p>
    <w:p>
      <w:pPr>
        <w:pStyle w:val="ListParagraph"/>
        <w:numPr>
          <w:ilvl w:val="0"/>
          <w:numId w:val="2"/>
        </w:numPr>
        <w:spacing w:after="60"/>
      </w:pPr>
      <w:r>
        <w:rPr>
          <w:rFonts w:ascii="Yu Mincho" w:cs="Yu Mincho" w:eastAsia="Yu Mincho" w:hAnsi="Yu Mincho"/>
          <w:sz w:val="21"/>
          <w:szCs w:val="21"/>
        </w:rPr>
        <w:t xml:space="preserve">表：リスク因子一覧（患者側／治療側／遺伝的因子）とエビデンスの強さ、主要文献</w:t>
      </w:r>
    </w:p>
    <w:p>
      <w:pPr>
        <w:pStyle w:val="ListParagraph"/>
        <w:numPr>
          <w:ilvl w:val="0"/>
          <w:numId w:val="2"/>
        </w:numPr>
        <w:spacing w:after="60"/>
      </w:pPr>
      <w:r>
        <w:rPr>
          <w:rFonts w:ascii="Yu Mincho" w:cs="Yu Mincho" w:eastAsia="Yu Mincho" w:hAnsi="Yu Mincho"/>
          <w:sz w:val="21"/>
          <w:szCs w:val="21"/>
        </w:rPr>
        <w:t xml:space="preserve">図：リスク層別のイメージ（高リスク患者の見つけ方をチェックリスト形式の図に）</w:t>
      </w:r>
    </w:p>
    <w:p>
      <w:pPr>
        <w:pStyle w:val="ListParagraph"/>
        <w:numPr>
          <w:ilvl w:val="0"/>
          <w:numId w:val="2"/>
        </w:numPr>
        <w:spacing w:after="60"/>
      </w:pPr>
      <w:r>
        <w:rPr>
          <w:rFonts w:ascii="Yu Mincho" w:cs="Yu Mincho" w:eastAsia="Yu Mincho" w:hAnsi="Yu Mincho"/>
          <w:sz w:val="21"/>
          <w:szCs w:val="21"/>
        </w:rPr>
        <w:t xml:space="preserve">表：2023年以降に報告された予測モデル・バイオマーカー研究の要約</w:t>
      </w:r>
    </w:p>
    <w:p>
      <w:pPr>
        <w:pStyle w:val="Heading1"/>
        <w:spacing w:after="120" w:before="240"/>
      </w:pPr>
      <w:r>
        <w:rPr>
          <w:rFonts w:ascii="Yu Gothic" w:cs="Yu Gothic" w:eastAsia="Yu Gothic" w:hAnsi="Yu Gothic"/>
          <w:b/>
          <w:bCs/>
        </w:rPr>
        <w:t xml:space="preserve">3. 2023年版 原文</w:t>
      </w:r>
    </w:p>
    <w:p>
      <w:pPr>
        <w:pStyle w:val="Heading3"/>
        <w:spacing w:after="120" w:before="240"/>
      </w:pPr>
      <w:r>
        <w:rPr>
          <w:rFonts w:ascii="Yu Gothic" w:cs="Yu Gothic" w:eastAsia="Yu Gothic" w:hAnsi="Yu Gothic"/>
          <w:b/>
          <w:bCs/>
        </w:rPr>
        <w:t xml:space="preserve">E CIPN のリスク因子</w:t>
      </w:r>
    </w:p>
    <w:p>
      <w:pPr>
        <w:spacing w:after="120"/>
        <w:ind w:firstLine="210"/>
      </w:pPr>
      <w:r>
        <w:rPr>
          <w:rFonts w:ascii="Yu Mincho" w:cs="Yu Mincho" w:eastAsia="Yu Mincho" w:hAnsi="Yu Mincho"/>
          <w:sz w:val="21"/>
          <w:szCs w:val="21"/>
        </w:rPr>
        <w:t xml:space="preserve">CIPN は神経毒性抗腫瘍療法の数サイクル後に用量依存的に発生し，投与された単回および累積用量に依存するが，曝露期間，スケジューリング，併用療法も潜在的なリスク因子である1）。CIPN 発症にかかわる個々のリスク因子についてはまだ確立されたものはないが，これらに関する研究結果がいくつか報告されている。サウスウェストオンコロジーグループによるタキサン系製剤を使った第Ⅱ／Ⅲ相試験のデータベースを用いた検討によると，糖尿病の合併は CIPN のリスク因子であった2）。肺がん患者の大規模コホート研究では，糖尿病は白金製剤およびタキサン系製剤による CIPN のリスク因子であった3）。タキサン系製剤および白金製剤の化学療法を受けている患者を対象とした CIPN のリスク因子の検討では，多変量解析では高齢（OR＝1.08），化学療法，ニューロパシー（運動 CIPN のみ，OR＝8.36），症状負担（OR＝1.06），受けた化学療法サイクル数（OR＝1.19—1.24），アルコール摂取（OR＝0.32）がリスク因子として抽出され，単変量解析では，スタチンは有意な，糖尿病の傾向を有するリスク因子として抽出された4）。オキサリプラチンによる CIPN の予測因子に関する研究では，治療前の貧血，低アルブミン血症，低マグネシウム血症，飲酒習慣がリスク因子として抽出され，CIPN の持続時間では，若年者，低アルブミン血症，低マグネシウム血症がリスク因子として抽出された5）。別の研究では，治療前に BMI が高くヘモグロビンが低い高齢の患者は，パクリタキセルまたはオキサリプラチンによる CIPN 発症リスクが高いことが報告された6）。喫煙も長期にわたる知覚異常のリスクを高めるとの報告もある7）。また，ほかの神経毒性物質と既存の神経障害への同時曝露，および神経障害の素因となるアルコール乱用，腎不全，甲状腺機能低下症，ビタミン欠乏症，HIV，自己免疫性リウマチ性疾患なども潜在的なリスク因子として考慮すべきであるとの報告もある4）</w:t>
      </w:r>
      <w:r>
        <w:rPr>
          <w:rFonts w:ascii="Yu Mincho" w:cs="Yu Mincho" w:eastAsia="Yu Mincho" w:hAnsi="Yu Mincho"/>
          <w:sz w:val="21"/>
          <w:szCs w:val="21"/>
          <w:vertAlign w:val="superscript"/>
        </w:rPr>
        <w:t xml:space="preserve">8)</w:t>
      </w:r>
      <w:r>
        <w:rPr>
          <w:rFonts w:ascii="Yu Mincho" w:cs="Yu Mincho" w:eastAsia="Yu Mincho" w:hAnsi="Yu Mincho"/>
          <w:sz w:val="21"/>
          <w:szCs w:val="21"/>
          <w:vertAlign w:val="superscript"/>
        </w:rPr>
        <w:t xml:space="preserve">9)</w:t>
      </w:r>
      <w:r>
        <w:rPr>
          <w:rFonts w:ascii="Yu Mincho" w:cs="Yu Mincho" w:eastAsia="Yu Mincho" w:hAnsi="Yu Mincho"/>
          <w:sz w:val="21"/>
          <w:szCs w:val="21"/>
        </w:rPr>
        <w:t xml:space="preserve">。CIPN の発症予測に有用な遺伝子検査は現時点で存在しないが，CIPN の原因となる薬剤の神経毒感受性に関連する遺伝子変異が明らかになりつつあり10），今後の研究が期待される。</w:t>
      </w:r>
    </w:p>
    <w:p>
      <w:pPr>
        <w:spacing w:after="120"/>
        <w:ind w:firstLine="210"/>
      </w:pPr>
      <w:r>
        <w:rPr>
          <w:rFonts w:ascii="Yu Mincho" w:cs="Yu Mincho" w:eastAsia="Yu Mincho" w:hAnsi="Yu Mincho"/>
          <w:sz w:val="21"/>
          <w:szCs w:val="21"/>
        </w:rPr>
        <w:t xml:space="preserve">（宇和川 匡）</w:t>
      </w:r>
    </w:p>
    <w:p>
      <w:pPr>
        <w:pStyle w:val="Heading2"/>
        <w:spacing w:after="120" w:before="240"/>
      </w:pPr>
      <w:r>
        <w:rPr>
          <w:rFonts w:ascii="Yu Gothic" w:cs="Yu Gothic" w:eastAsia="Yu Gothic" w:hAnsi="Yu Gothic"/>
          <w:b/>
          <w:bCs/>
        </w:rPr>
        <w:t xml:space="preserve">文献（2023年版）</w:t>
      </w:r>
    </w:p>
    <w:p>
      <w:pPr>
        <w:spacing w:after="120"/>
        <w:ind w:firstLine="210"/>
      </w:pPr>
      <w:r>
        <w:rPr>
          <w:rFonts w:ascii="Yu Mincho" w:cs="Yu Mincho" w:eastAsia="Yu Mincho" w:hAnsi="Yu Mincho"/>
          <w:sz w:val="21"/>
          <w:szCs w:val="21"/>
        </w:rPr>
        <w:t xml:space="preserve">1）Jordan B, Margulies A, Cardoso F, et al； ESMO Guidelines Committee. EONS Education Working Group. EANO Guideline Committee. Systemic anticancer therapy—induced peripheral and central neu-rotoxicity： ESMO—EONS—EANO Clinical Practice Guidelines for diagnosis, prevention, treatment and follow—up. Ann Oncol. 2020； 31： 1306—19.［PMID： 32739407］</w:t>
      </w:r>
    </w:p>
    <w:p>
      <w:pPr>
        <w:spacing w:after="120"/>
        <w:ind w:firstLine="210"/>
      </w:pPr>
      <w:r>
        <w:rPr>
          <w:rFonts w:ascii="Yu Mincho" w:cs="Yu Mincho" w:eastAsia="Yu Mincho" w:hAnsi="Yu Mincho"/>
          <w:sz w:val="21"/>
          <w:szCs w:val="21"/>
        </w:rPr>
        <w:t xml:space="preserve">2）Hershman DL, Till C, Wright JD, et al. Comorbidities and Risk of Chemotherapy—Induced Peripheral Neuropathy Among Participants 65 Years or Older in Southwest Oncology Group Clinical Trials. J Clin Oncol. 2016； 34： 3014—22.［PMID： 27325863］</w:t>
      </w:r>
    </w:p>
    <w:p>
      <w:pPr>
        <w:spacing w:after="120"/>
        <w:ind w:firstLine="210"/>
      </w:pPr>
      <w:r>
        <w:rPr>
          <w:rFonts w:ascii="Yu Mincho" w:cs="Yu Mincho" w:eastAsia="Yu Mincho" w:hAnsi="Yu Mincho"/>
          <w:sz w:val="21"/>
          <w:szCs w:val="21"/>
        </w:rPr>
        <w:t xml:space="preserve">3）Johnson C, Pankratz VS, Velazquez AI, et al Candidate pathway—based genetic association study of platinum and platinum—taxane related toxicity in a cohort of primary lung cancer patients. J Neurol Sci. 2015； 349： 124—8.［PMID： 25586538］</w:t>
      </w:r>
    </w:p>
    <w:p>
      <w:pPr>
        <w:spacing w:after="120"/>
        <w:ind w:firstLine="210"/>
      </w:pPr>
      <w:r>
        <w:rPr>
          <w:rFonts w:ascii="Yu Mincho" w:cs="Yu Mincho" w:eastAsia="Yu Mincho" w:hAnsi="Yu Mincho"/>
          <w:sz w:val="21"/>
          <w:szCs w:val="21"/>
        </w:rPr>
        <w:t xml:space="preserve">4）Molassiotis A, Cheng HL, Leung KT, et al. Risk factors for chemotherapy—induced peripheral neuropa-thy in patients receiving taxane— and platinum—based chemotherapy. Brain Behav. 2019； 9： e01312.［PMID： 31063261］総論章</w:t>
      </w:r>
    </w:p>
    <w:p>
      <w:pPr>
        <w:spacing w:after="120"/>
        <w:ind w:firstLine="210"/>
      </w:pPr>
      <w:r>
        <w:rPr>
          <w:rFonts w:ascii="Yu Mincho" w:cs="Yu Mincho" w:eastAsia="Yu Mincho" w:hAnsi="Yu Mincho"/>
          <w:sz w:val="21"/>
          <w:szCs w:val="21"/>
        </w:rPr>
        <w:t xml:space="preserve">5）Vincenzi B, Frezza AM, Schiavon G, et al. Identification of clinical predictive factors of oxaliplatin—induced chronic peripheral neuropathy in colorectal cancer patients treated with adjuvant Folfox Ⅳ.Support Care Cancer. 2013； 21： 1313—9.［PMID： 23196819］</w:t>
      </w:r>
    </w:p>
    <w:p>
      <w:pPr>
        <w:spacing w:after="120"/>
        <w:ind w:firstLine="210"/>
      </w:pPr>
      <w:r>
        <w:rPr>
          <w:rFonts w:ascii="Yu Mincho" w:cs="Yu Mincho" w:eastAsia="Yu Mincho" w:hAnsi="Yu Mincho"/>
          <w:sz w:val="21"/>
          <w:szCs w:val="21"/>
        </w:rPr>
        <w:t xml:space="preserve">6）Mizrahi D, Park SB, Li T, et al. Hemoglobin, Body Mass Index, and Age as Risk Factors for Paclitaxel—and Oxaliplatin—Induced Peripheral Neuropathy. JAMA Netw Open. 2021； 4： e2036695.［PMID：33587134］</w:t>
      </w:r>
    </w:p>
    <w:p>
      <w:pPr>
        <w:spacing w:after="120"/>
        <w:ind w:firstLine="210"/>
      </w:pPr>
      <w:r>
        <w:rPr>
          <w:rFonts w:ascii="Yu Mincho" w:cs="Yu Mincho" w:eastAsia="Yu Mincho" w:hAnsi="Yu Mincho"/>
          <w:sz w:val="21"/>
          <w:szCs w:val="21"/>
        </w:rPr>
        <w:t xml:space="preserve">7）Brydøy M, Oldenburg J, Klepp O, et al. Observational study of prevalence of long—term Raynaud—like phenomena and neurological side effects in testicular cancer survivors. J Natl Cancer Inst. 2009； 101：1682—95.［PMID： 19940282］</w:t>
      </w:r>
    </w:p>
    <w:p>
      <w:pPr>
        <w:spacing w:after="120"/>
        <w:ind w:firstLine="210"/>
      </w:pPr>
      <w:r>
        <w:rPr>
          <w:rFonts w:ascii="Yu Mincho" w:cs="Yu Mincho" w:eastAsia="Yu Mincho" w:hAnsi="Yu Mincho"/>
          <w:sz w:val="21"/>
          <w:szCs w:val="21"/>
        </w:rPr>
        <w:t xml:space="preserve">8）Jordan K, Feyer P, Höller U, et al. Supportive Treatments for Patients with Cancer. Dtsch Arztebl Int.2017； 114： 481—7.［PMID： 28764837］</w:t>
      </w:r>
    </w:p>
    <w:p>
      <w:pPr>
        <w:spacing w:after="120"/>
        <w:ind w:firstLine="210"/>
      </w:pPr>
      <w:r>
        <w:rPr>
          <w:rFonts w:ascii="Yu Mincho" w:cs="Yu Mincho" w:eastAsia="Yu Mincho" w:hAnsi="Yu Mincho"/>
          <w:sz w:val="21"/>
          <w:szCs w:val="21"/>
        </w:rPr>
        <w:t xml:space="preserve">9）Johnson C, Pankratz VS, Velazquez AI, et al. Candidate pathway—based genetic association study of platinum and platinum—taxane related toxicity in a cohort of primary lung cancer patients. J Neurol Sci. 2015； 349： 124—8.［PMID： 25586538］</w:t>
      </w:r>
    </w:p>
    <w:p>
      <w:pPr>
        <w:spacing w:after="120"/>
        <w:ind w:firstLine="210"/>
      </w:pPr>
      <w:r>
        <w:rPr>
          <w:rFonts w:ascii="Yu Mincho" w:cs="Yu Mincho" w:eastAsia="Yu Mincho" w:hAnsi="Yu Mincho"/>
          <w:sz w:val="21"/>
          <w:szCs w:val="21"/>
        </w:rPr>
        <w:t xml:space="preserve">10）Staff NP, Grisold A, Grisold W, et al. Chemotherapy—induced peripheral neuropathy： A current review.Ann Neurol. 2017； 81： 772—81.［PMID： 28486769］</w:t>
      </w:r>
    </w:p>
    <w:sectPr>
      <w:pgSz w:w="11906" w:h="16838" w:orient="portrait"/>
      <w:pgMar w:top="1418" w:right="1418" w:bottom="1418"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2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Mincho" w:cs="Yu Mincho" w:eastAsia="Yu Mincho" w:hAnsi="Yu Mincho"/>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2026-09-29T14:51:02.062Z</dcterms:created>
  <dcterms:modified xsi:type="dcterms:W3CDTF">2026-09-29T14:51:02.062Z</dcterms:modified>
</cp:coreProperties>
</file>

<file path=docProps/custom.xml><?xml version="1.0" encoding="utf-8"?>
<Properties xmlns="http://schemas.openxmlformats.org/officeDocument/2006/custom-properties" xmlns:vt="http://schemas.openxmlformats.org/officeDocument/2006/docPropsVTypes"/>
</file>