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G. 各薬剤によるCIPNの症状</w:t>
      </w:r>
    </w:p>
    <w:p>
      <w:pPr>
        <w:spacing w:after="120"/>
      </w:pPr>
      <w:r>
        <w:rPr>
          <w:rFonts w:ascii="Yu Mincho" w:cs="Yu Mincho" w:eastAsia="Yu Mincho" w:hAnsi="Yu Mincho"/>
          <w:sz w:val="21"/>
          <w:szCs w:val="21"/>
        </w:rPr>
        <w:t xml:space="preserve">担当：神林・縄田・坂下　／　2023年版 第2章 pp.20–22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表：薬剤別の特徴一覧（機序・発症時期・主症状・累積閾値・回復性・coasting・急性症状の有無）を1枚に</w:t>
      </w:r>
    </w:p>
    <w:p>
      <w:pPr>
        <w:pStyle w:val="ListParagraph"/>
        <w:numPr>
          <w:ilvl w:val="0"/>
          <w:numId w:val="2"/>
        </w:numPr>
        <w:spacing w:after="60"/>
      </w:pPr>
      <w:r>
        <w:rPr>
          <w:rFonts w:ascii="Yu Mincho" w:cs="Yu Mincho" w:eastAsia="Yu Mincho" w:hAnsi="Yu Mincho"/>
          <w:sz w:val="21"/>
          <w:szCs w:val="21"/>
        </w:rPr>
        <w:t xml:space="preserve">図：薬剤クラス別の症状の時間経過パターン（投与サイクルに対する症状スコアの模式グラフ）</w:t>
      </w:r>
    </w:p>
    <w:p>
      <w:pPr>
        <w:pStyle w:val="ListParagraph"/>
        <w:numPr>
          <w:ilvl w:val="0"/>
          <w:numId w:val="2"/>
        </w:numPr>
        <w:spacing w:after="60"/>
      </w:pPr>
      <w:r>
        <w:rPr>
          <w:rFonts w:ascii="Yu Mincho" w:cs="Yu Mincho" w:eastAsia="Yu Mincho" w:hAnsi="Yu Mincho"/>
          <w:sz w:val="21"/>
          <w:szCs w:val="21"/>
        </w:rPr>
        <w:t xml:space="preserve">表：新規薬剤（ADC：エンホルツマブ・T‑DXd・ブレンツキシマブ等、免疫チェックポイント阻害薬、プロテアソーム阻害薬）の神経障害の要約</w:t>
      </w:r>
    </w:p>
    <w:p>
      <w:pPr>
        <w:pStyle w:val="ListParagraph"/>
        <w:numPr>
          <w:ilvl w:val="0"/>
          <w:numId w:val="2"/>
        </w:numPr>
        <w:spacing w:after="60"/>
      </w:pPr>
      <w:r>
        <w:rPr>
          <w:rFonts w:ascii="Yu Mincho" w:cs="Yu Mincho" w:eastAsia="Yu Mincho" w:hAnsi="Yu Mincho"/>
          <w:sz w:val="21"/>
          <w:szCs w:val="21"/>
        </w:rPr>
        <w:t xml:space="preserve">図：免疫チェックポイント阻害薬による神経系irAEの分類図（末梢／中枢／神経筋接合部）</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G 各薬剤による CIPN の症状</w:t>
      </w:r>
    </w:p>
    <w:p>
      <w:pPr>
        <w:spacing w:after="120"/>
        <w:ind w:firstLine="210"/>
      </w:pPr>
      <w:r>
        <w:rPr>
          <w:rFonts w:ascii="Yu Mincho" w:cs="Yu Mincho" w:eastAsia="Yu Mincho" w:hAnsi="Yu Mincho"/>
          <w:sz w:val="21"/>
          <w:szCs w:val="21"/>
        </w:rPr>
        <w:t xml:space="preserve">CIPN の原因薬剤として，白金製剤・タキサン系製剤・ビンカアルカロイド系製剤，ボルテゾミブやサリドマイドが知られているが，近年，多くのがん種で使用されている免疫チェックポイント阻害薬でも発症する。薬剤により末梢神経障害が起こるメカニズムが違うため，症状にも特徴がある1）。白金製剤以外の殺細胞性抗がん薬の多くは，微小管阻害作用による軸索輸送障害であり，四肢末梢から始まる glove and stocking 型の感覚障害の分布を示すことが多い。感覚障害に加えて，筋力低下などの運動障害も起こり得る。神経症状は治療開始後すぐから出現し，薬剤の中止により徐々に回復するが不可逆的な障害を残すこともある2）。</w:t>
      </w:r>
    </w:p>
    <w:p>
      <w:pPr>
        <w:pStyle w:val="Heading3"/>
        <w:spacing w:after="120" w:before="240"/>
      </w:pPr>
      <w:r>
        <w:rPr>
          <w:rFonts w:ascii="Yu Gothic" w:cs="Yu Gothic" w:eastAsia="Yu Gothic" w:hAnsi="Yu Gothic"/>
          <w:b/>
          <w:bCs/>
        </w:rPr>
        <w:t xml:space="preserve">1．白金製剤</w:t>
      </w:r>
    </w:p>
    <w:p>
      <w:pPr>
        <w:spacing w:after="120"/>
        <w:ind w:firstLine="210"/>
      </w:pPr>
      <w:r>
        <w:rPr>
          <w:rFonts w:ascii="Yu Mincho" w:cs="Yu Mincho" w:eastAsia="Yu Mincho" w:hAnsi="Yu Mincho"/>
          <w:sz w:val="21"/>
          <w:szCs w:val="21"/>
        </w:rPr>
        <w:t xml:space="preserve">脊髄後根神経節（dorsal root ganglion；DRG）における神経細胞の細胞死によって発生し，二次的に軸索と髄鞘が障害を受け感覚障害を呈する。軸索にはタンパク質を作るリボソームがないため，神経細胞体から軸索を通じてタンパク質を輸送する必要がある。そのため神経細胞体が消失すれば，軸索と髄鞘が再生することはなく，薬剤中止後も回復は困難なことが多い。軸索の短い神経細胞体も障害されることから，感覚障害は四肢末梢とともに体幹や顔面にも発生する2）。</w:t>
      </w:r>
    </w:p>
    <w:p>
      <w:pPr>
        <w:pStyle w:val="Heading3"/>
        <w:spacing w:after="120" w:before="240"/>
      </w:pPr>
      <w:r>
        <w:rPr>
          <w:rFonts w:ascii="Yu Gothic" w:cs="Yu Gothic" w:eastAsia="Yu Gothic" w:hAnsi="Yu Gothic"/>
          <w:b/>
          <w:bCs/>
        </w:rPr>
        <w:t xml:space="preserve">1）シスプラチン</w:t>
      </w:r>
    </w:p>
    <w:p>
      <w:pPr>
        <w:spacing w:after="120"/>
        <w:ind w:firstLine="210"/>
      </w:pPr>
      <w:r>
        <w:rPr>
          <w:rFonts w:ascii="Yu Mincho" w:cs="Yu Mincho" w:eastAsia="Yu Mincho" w:hAnsi="Yu Mincho"/>
          <w:sz w:val="21"/>
          <w:szCs w:val="21"/>
        </w:rPr>
        <w:t xml:space="preserve">アキレス腱反射の低下を伴う下肢優位の振動覚の低下が出現し，運動障害は少ない3）。聴神経障害により高音域の感音性難聴も起こる。蓄積性があり，投与中止後も長期間症状が継続することが多い4）</w:t>
      </w:r>
      <w:r>
        <w:rPr>
          <w:rFonts w:ascii="Yu Mincho" w:cs="Yu Mincho" w:eastAsia="Yu Mincho" w:hAnsi="Yu Mincho"/>
          <w:sz w:val="21"/>
          <w:szCs w:val="21"/>
          <w:vertAlign w:val="superscript"/>
        </w:rPr>
        <w:t xml:space="preserve">5)</w:t>
      </w:r>
      <w:r>
        <w:rPr>
          <w:rFonts w:ascii="Yu Mincho" w:cs="Yu Mincho" w:eastAsia="Yu Mincho" w:hAnsi="Yu Mincho"/>
          <w:sz w:val="21"/>
          <w:szCs w:val="21"/>
        </w:rPr>
        <w:t xml:space="preserve">。</w:t>
      </w:r>
    </w:p>
    <w:p>
      <w:pPr>
        <w:pStyle w:val="Heading3"/>
        <w:spacing w:after="120" w:before="240"/>
      </w:pPr>
      <w:r>
        <w:rPr>
          <w:rFonts w:ascii="Yu Gothic" w:cs="Yu Gothic" w:eastAsia="Yu Gothic" w:hAnsi="Yu Gothic"/>
          <w:b/>
          <w:bCs/>
        </w:rPr>
        <w:t xml:space="preserve">2）オキサリプラチン</w:t>
      </w:r>
    </w:p>
    <w:p>
      <w:pPr>
        <w:spacing w:after="120"/>
        <w:ind w:firstLine="210"/>
      </w:pPr>
      <w:r>
        <w:rPr>
          <w:rFonts w:ascii="Yu Mincho" w:cs="Yu Mincho" w:eastAsia="Yu Mincho" w:hAnsi="Yu Mincho"/>
          <w:sz w:val="21"/>
          <w:szCs w:val="21"/>
        </w:rPr>
        <w:t xml:space="preserve">投与直後から起こる急性障害と慢性障害がある。急性障害は寒冷刺激により増悪する四肢末端や口唇周囲の知覚異常を特徴とし，一過性の嚥下困難や呼吸困難が出現することもある。急性障害は数日以内でほとんど消失するが，慢性障害は数カ月から数年継続することもある6）。投与量が 800 mg／m2を超えると，感覚性の機能障害を伴う神経障害の頻度が高くなる。</w:t>
      </w:r>
    </w:p>
    <w:p>
      <w:pPr>
        <w:pStyle w:val="Heading3"/>
        <w:spacing w:after="120" w:before="240"/>
      </w:pPr>
      <w:r>
        <w:rPr>
          <w:rFonts w:ascii="Yu Gothic" w:cs="Yu Gothic" w:eastAsia="Yu Gothic" w:hAnsi="Yu Gothic"/>
          <w:b/>
          <w:bCs/>
        </w:rPr>
        <w:t xml:space="preserve">3）カルボプラチン</w:t>
      </w:r>
    </w:p>
    <w:p>
      <w:pPr>
        <w:spacing w:after="120"/>
        <w:ind w:firstLine="210"/>
      </w:pPr>
      <w:r>
        <w:rPr>
          <w:rFonts w:ascii="Yu Mincho" w:cs="Yu Mincho" w:eastAsia="Yu Mincho" w:hAnsi="Yu Mincho"/>
          <w:sz w:val="21"/>
          <w:szCs w:val="21"/>
        </w:rPr>
        <w:t xml:space="preserve">通常量の使用では神経症状の出現は比較的少ない。高用量でシスプラチンと同様の症状が出現することもある7）。</w:t>
      </w:r>
    </w:p>
    <w:p>
      <w:pPr>
        <w:pStyle w:val="Heading3"/>
        <w:spacing w:after="120" w:before="240"/>
      </w:pPr>
      <w:r>
        <w:rPr>
          <w:rFonts w:ascii="Yu Gothic" w:cs="Yu Gothic" w:eastAsia="Yu Gothic" w:hAnsi="Yu Gothic"/>
          <w:b/>
          <w:bCs/>
        </w:rPr>
        <w:t xml:space="preserve">2．タキサン系製剤</w:t>
      </w:r>
    </w:p>
    <w:p>
      <w:pPr>
        <w:pStyle w:val="Heading3"/>
        <w:spacing w:after="120" w:before="240"/>
      </w:pPr>
      <w:r>
        <w:rPr>
          <w:rFonts w:ascii="Yu Gothic" w:cs="Yu Gothic" w:eastAsia="Yu Gothic" w:hAnsi="Yu Gothic"/>
          <w:b/>
          <w:bCs/>
        </w:rPr>
        <w:t xml:space="preserve">1）パクリタキセル</w:t>
      </w:r>
    </w:p>
    <w:p>
      <w:pPr>
        <w:spacing w:after="120"/>
        <w:ind w:firstLine="210"/>
      </w:pPr>
      <w:r>
        <w:rPr>
          <w:rFonts w:ascii="Yu Mincho" w:cs="Yu Mincho" w:eastAsia="Yu Mincho" w:hAnsi="Yu Mincho"/>
          <w:sz w:val="21"/>
          <w:szCs w:val="21"/>
        </w:rPr>
        <w:t xml:space="preserve">混合性多発神経障害で，四肢の知覚異常を主体とし，1 回投与量と総投与量に相関する8）。</w:t>
      </w:r>
    </w:p>
    <w:p>
      <w:pPr>
        <w:spacing w:after="120"/>
        <w:ind w:firstLine="210"/>
      </w:pPr>
      <w:r>
        <w:rPr>
          <w:rFonts w:ascii="Yu Mincho" w:cs="Yu Mincho" w:eastAsia="Yu Mincho" w:hAnsi="Yu Mincho"/>
          <w:sz w:val="21"/>
          <w:szCs w:val="21"/>
        </w:rPr>
        <w:t xml:space="preserve">その一方で，weekly レジメンのほうが tri—weekly レジメンよりも末梢神経障害が重篤化すると報告され，投与回数や一定期間の頻度が関与する可能性も指摘されている9）～11）。</w:t>
      </w:r>
    </w:p>
    <w:p>
      <w:pPr>
        <w:spacing w:after="120"/>
        <w:ind w:firstLine="210"/>
      </w:pPr>
      <w:r>
        <w:rPr>
          <w:rFonts w:ascii="Yu Mincho" w:cs="Yu Mincho" w:eastAsia="Yu Mincho" w:hAnsi="Yu Mincho"/>
          <w:sz w:val="21"/>
          <w:szCs w:val="21"/>
        </w:rPr>
        <w:t xml:space="preserve">神経障害性疼痛を伴うこともあり，進行すると四肢遠位部優位の灼熱感，全感覚に及ぶ感覚障害，感覚性運動障害，徐脈性不整脈などの自律神経症状も起こす12）。</w:t>
      </w:r>
    </w:p>
    <w:p>
      <w:pPr>
        <w:pStyle w:val="Heading3"/>
        <w:spacing w:after="120" w:before="240"/>
      </w:pPr>
      <w:r>
        <w:rPr>
          <w:rFonts w:ascii="Yu Gothic" w:cs="Yu Gothic" w:eastAsia="Yu Gothic" w:hAnsi="Yu Gothic"/>
          <w:b/>
          <w:bCs/>
        </w:rPr>
        <w:t xml:space="preserve">2）ドセタキセル</w:t>
      </w:r>
    </w:p>
    <w:p>
      <w:pPr>
        <w:spacing w:after="120"/>
        <w:ind w:firstLine="210"/>
      </w:pPr>
      <w:r>
        <w:rPr>
          <w:rFonts w:ascii="Yu Mincho" w:cs="Yu Mincho" w:eastAsia="Yu Mincho" w:hAnsi="Yu Mincho"/>
          <w:sz w:val="21"/>
          <w:szCs w:val="21"/>
        </w:rPr>
        <w:t xml:space="preserve">蓄積性の感覚障害・運動障害が出現するがパクリタキセルより頻度は少ないと報告されている13）。</w:t>
      </w:r>
    </w:p>
    <w:p>
      <w:pPr>
        <w:pStyle w:val="Heading3"/>
        <w:spacing w:after="120" w:before="240"/>
      </w:pPr>
      <w:r>
        <w:rPr>
          <w:rFonts w:ascii="Yu Gothic" w:cs="Yu Gothic" w:eastAsia="Yu Gothic" w:hAnsi="Yu Gothic"/>
          <w:b/>
          <w:bCs/>
        </w:rPr>
        <w:t xml:space="preserve">3．ビンカアルカロイド系製剤</w:t>
      </w:r>
    </w:p>
    <w:p>
      <w:pPr>
        <w:pStyle w:val="Heading3"/>
        <w:spacing w:after="120" w:before="240"/>
      </w:pPr>
      <w:r>
        <w:rPr>
          <w:rFonts w:ascii="Yu Gothic" w:cs="Yu Gothic" w:eastAsia="Yu Gothic" w:hAnsi="Yu Gothic"/>
          <w:b/>
          <w:bCs/>
        </w:rPr>
        <w:t xml:space="preserve">1）ビンクリスチン</w:t>
      </w:r>
    </w:p>
    <w:p>
      <w:pPr>
        <w:spacing w:after="120"/>
        <w:ind w:firstLine="210"/>
      </w:pPr>
      <w:r>
        <w:rPr>
          <w:rFonts w:ascii="Yu Mincho" w:cs="Yu Mincho" w:eastAsia="Yu Mincho" w:hAnsi="Yu Mincho"/>
          <w:sz w:val="21"/>
          <w:szCs w:val="21"/>
        </w:rPr>
        <w:t xml:space="preserve">混合性の感覚・運動・自律神経障害をきたし，両側性が特徴である14）。具体的には手指感覚異常，腱反射の減弱で発症し，便秘，排尿困難，嗄声，複視，顔面神経麻痺等も起こす。</w:t>
      </w:r>
    </w:p>
    <w:p>
      <w:pPr>
        <w:spacing w:after="120"/>
        <w:ind w:firstLine="210"/>
      </w:pPr>
      <w:r>
        <w:rPr>
          <w:rFonts w:ascii="Yu Mincho" w:cs="Yu Mincho" w:eastAsia="Yu Mincho" w:hAnsi="Yu Mincho"/>
          <w:sz w:val="21"/>
          <w:szCs w:val="21"/>
        </w:rPr>
        <w:t xml:space="preserve">下肢よりも上肢に早く症状が出現し程度も強い。治療開始から数週間以内に起こり，投与中止後も長期間継続することが多いと報告されている15）。</w:t>
      </w:r>
    </w:p>
    <w:p>
      <w:pPr>
        <w:pStyle w:val="Heading3"/>
        <w:spacing w:after="120" w:before="240"/>
      </w:pPr>
      <w:r>
        <w:rPr>
          <w:rFonts w:ascii="Yu Gothic" w:cs="Yu Gothic" w:eastAsia="Yu Gothic" w:hAnsi="Yu Gothic"/>
          <w:b/>
          <w:bCs/>
        </w:rPr>
        <w:t xml:space="preserve">2）ビンブラスチン，ビノレルビン</w:t>
      </w:r>
    </w:p>
    <w:p>
      <w:pPr>
        <w:spacing w:after="120"/>
        <w:ind w:firstLine="210"/>
      </w:pPr>
      <w:r>
        <w:rPr>
          <w:rFonts w:ascii="Yu Mincho" w:cs="Yu Mincho" w:eastAsia="Yu Mincho" w:hAnsi="Yu Mincho"/>
          <w:sz w:val="21"/>
          <w:szCs w:val="21"/>
        </w:rPr>
        <w:t xml:space="preserve">ビンクリスチンと同様の症状が出現する。</w:t>
      </w:r>
    </w:p>
    <w:p>
      <w:pPr>
        <w:pStyle w:val="Heading3"/>
        <w:spacing w:after="120" w:before="240"/>
      </w:pPr>
      <w:r>
        <w:rPr>
          <w:rFonts w:ascii="Yu Gothic" w:cs="Yu Gothic" w:eastAsia="Yu Gothic" w:hAnsi="Yu Gothic"/>
          <w:b/>
          <w:bCs/>
        </w:rPr>
        <w:t xml:space="preserve">4．免疫チェックポイント阻害薬</w:t>
      </w:r>
    </w:p>
    <w:p>
      <w:pPr>
        <w:spacing w:after="120"/>
        <w:ind w:firstLine="210"/>
      </w:pPr>
      <w:r>
        <w:rPr>
          <w:rFonts w:ascii="Yu Mincho" w:cs="Yu Mincho" w:eastAsia="Yu Mincho" w:hAnsi="Yu Mincho"/>
          <w:sz w:val="21"/>
          <w:szCs w:val="21"/>
        </w:rPr>
        <w:t xml:space="preserve">免疫チェックポイント阻害薬による神経障害は，殺細胞性抗がん薬のように薬が直接神経に損傷を与えるわけではなく，免疫関連有害事象である。神経障害全体では，抗 CTLA—4 抗体薬で 3.8％，抗 PD—1 抗体薬で 6.1％と報告されている16）。神経障害は，多様な臨床像をきたすため，日常生活に支障をきたすようなしびれや脱力感，関節痛などの症状が出現した場合は，投与時期にかかわらず，常に免疫関連有害事象も念頭に置き，早期に専門医へのコンサルトが重要である17）。</w:t>
      </w:r>
    </w:p>
    <w:p>
      <w:pPr>
        <w:spacing w:after="120"/>
        <w:ind w:firstLine="210"/>
      </w:pPr>
      <w:r>
        <w:rPr>
          <w:rFonts w:ascii="Yu Mincho" w:cs="Yu Mincho" w:eastAsia="Yu Mincho" w:hAnsi="Yu Mincho"/>
          <w:sz w:val="21"/>
          <w:szCs w:val="21"/>
        </w:rPr>
        <w:t xml:space="preserve">（神林 祐子・縄田 修一）</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rPr>
        <w:t xml:space="preserve">1）Cavaletti G, Alberti P, Frigeni B, et al. Chemotherapy—induced neuropathy. Curr Treat Options Neurol.2011； 13： 180—90.［PMID： 21191824］</w:t>
      </w:r>
    </w:p>
    <w:p>
      <w:pPr>
        <w:spacing w:after="120"/>
        <w:ind w:firstLine="210"/>
      </w:pPr>
      <w:r>
        <w:rPr>
          <w:rFonts w:ascii="Yu Mincho" w:cs="Yu Mincho" w:eastAsia="Yu Mincho" w:hAnsi="Yu Mincho"/>
          <w:sz w:val="21"/>
          <w:szCs w:val="21"/>
        </w:rPr>
        <w:t xml:space="preserve">2）河野 豊，永田博司．【薬物と神経筋障害 診断と治療の進歩】薬物による神経障害 末梢神経障害の機序．日内会誌．2007； 96： 1585—90．</w:t>
      </w:r>
    </w:p>
    <w:p>
      <w:pPr>
        <w:spacing w:after="120"/>
        <w:ind w:firstLine="210"/>
      </w:pPr>
      <w:r>
        <w:rPr>
          <w:rFonts w:ascii="Yu Mincho" w:cs="Yu Mincho" w:eastAsia="Yu Mincho" w:hAnsi="Yu Mincho"/>
          <w:sz w:val="21"/>
          <w:szCs w:val="21"/>
        </w:rPr>
        <w:t xml:space="preserve">3）Ongerboer de Visser BW, Tiessens G. Polyneuropathy induced by cisplatin. Prog Exp Tumor Res. 1985；29： 190—6.［PMID： 2999870］</w:t>
      </w:r>
    </w:p>
    <w:p>
      <w:pPr>
        <w:spacing w:after="120"/>
        <w:ind w:firstLine="210"/>
      </w:pPr>
      <w:r>
        <w:rPr>
          <w:rFonts w:ascii="Yu Mincho" w:cs="Yu Mincho" w:eastAsia="Yu Mincho" w:hAnsi="Yu Mincho"/>
          <w:sz w:val="21"/>
          <w:szCs w:val="21"/>
        </w:rPr>
        <w:t xml:space="preserve">4）Mollman JE, Hogan WM, Glover DJ, et al. Unusual presentation of cis—platinum neuropathy. Neurology.1988； 38： 488—90.［PMID： 3347355］</w:t>
      </w:r>
    </w:p>
    <w:p>
      <w:pPr>
        <w:spacing w:after="120"/>
        <w:ind w:firstLine="210"/>
      </w:pPr>
      <w:r>
        <w:rPr>
          <w:rFonts w:ascii="Yu Mincho" w:cs="Yu Mincho" w:eastAsia="Yu Mincho" w:hAnsi="Yu Mincho"/>
          <w:sz w:val="21"/>
          <w:szCs w:val="21"/>
        </w:rPr>
        <w:t xml:space="preserve">5）Grunberg SM, Sonka S, Stevenson LL, et al. Progressive paresthesias after cessation of therapy with very high—dose cisplatin. Cancer Chemother Pharmacol. 1989； 25： 62—4.［PMID： 2556219］</w:t>
      </w:r>
    </w:p>
    <w:p>
      <w:pPr>
        <w:spacing w:after="120"/>
        <w:ind w:firstLine="210"/>
      </w:pPr>
      <w:r>
        <w:rPr>
          <w:rFonts w:ascii="Yu Mincho" w:cs="Yu Mincho" w:eastAsia="Yu Mincho" w:hAnsi="Yu Mincho"/>
          <w:sz w:val="21"/>
          <w:szCs w:val="21"/>
        </w:rPr>
        <w:t xml:space="preserve">6）Argyriou AA, Polychronopoulos P, Iconomou G, et al. A review on oxaliplatin—induced peripheral nerve damage. Cancer Treat Rev. 2008； 34： 368—77.［PMID： 18281158］</w:t>
      </w:r>
    </w:p>
    <w:p>
      <w:pPr>
        <w:spacing w:after="120"/>
        <w:ind w:firstLine="210"/>
      </w:pPr>
      <w:r>
        <w:rPr>
          <w:rFonts w:ascii="Yu Mincho" w:cs="Yu Mincho" w:eastAsia="Yu Mincho" w:hAnsi="Yu Mincho"/>
          <w:sz w:val="21"/>
          <w:szCs w:val="21"/>
        </w:rPr>
        <w:t xml:space="preserve">7）Heinzlef O, Lotz JP, Roullet E. Severe neuropathy after high dose carboplatin in three patients receiving総論章multidrug chemotherapy. J Neurol Neurosurg Psychiatry. 1998； 64： 667—9.［PMID： 959868］</w:t>
      </w:r>
    </w:p>
    <w:p>
      <w:pPr>
        <w:spacing w:after="120"/>
        <w:ind w:firstLine="210"/>
      </w:pPr>
      <w:r>
        <w:rPr>
          <w:rFonts w:ascii="Yu Mincho" w:cs="Yu Mincho" w:eastAsia="Yu Mincho" w:hAnsi="Yu Mincho"/>
          <w:sz w:val="21"/>
          <w:szCs w:val="21"/>
        </w:rPr>
        <w:t xml:space="preserve">8）Mielke S, Sparreboom A, Steinberg SM, et al. Association of Paclitaxel pharmacokinetics with the devel-opment of peripheral neuropathy in patients with advanced cancer. Clin Cancer Res. 2005； 11： 4843—50.［PMID： 16000582］</w:t>
      </w:r>
    </w:p>
    <w:p>
      <w:pPr>
        <w:spacing w:after="120"/>
        <w:ind w:firstLine="210"/>
      </w:pPr>
      <w:r>
        <w:rPr>
          <w:rFonts w:ascii="Yu Mincho" w:cs="Yu Mincho" w:eastAsia="Yu Mincho" w:hAnsi="Yu Mincho"/>
          <w:sz w:val="21"/>
          <w:szCs w:val="21"/>
        </w:rPr>
        <w:t xml:space="preserve">9）Lee JJ, Swain SM. Peripheral neuropathy induced by microtubule—stabilizing agents. J Clin Oncol. 2006；24： 1633—42.［PMID： 16575015］</w:t>
      </w:r>
    </w:p>
    <w:p>
      <w:pPr>
        <w:spacing w:after="120"/>
        <w:ind w:firstLine="210"/>
      </w:pPr>
      <w:r>
        <w:rPr>
          <w:rFonts w:ascii="Yu Mincho" w:cs="Yu Mincho" w:eastAsia="Yu Mincho" w:hAnsi="Yu Mincho"/>
          <w:sz w:val="21"/>
          <w:szCs w:val="21"/>
        </w:rPr>
        <w:t xml:space="preserve">10）Mielke S, Sparreboom A, Mross K. Peripheral neuropathy： a persisting challenge in paclitaxel—based regimes. Eur J Cancer. 2006； 42： 24—30.［PMID： 16293411］</w:t>
      </w:r>
    </w:p>
    <w:p>
      <w:pPr>
        <w:spacing w:after="120"/>
        <w:ind w:firstLine="210"/>
      </w:pPr>
      <w:r>
        <w:rPr>
          <w:rFonts w:ascii="Yu Mincho" w:cs="Yu Mincho" w:eastAsia="Yu Mincho" w:hAnsi="Yu Mincho"/>
          <w:sz w:val="21"/>
          <w:szCs w:val="21"/>
        </w:rPr>
        <w:t xml:space="preserve">11）Seidman AD, Berry D, Cirrincione C, et al. Randomized phase Ⅲ trial of weekly compared with every—3—weeks paclitaxel for metastatic breast cancer, with trastuzumab for all HER—2 overexpressors and random assignment to trastuzumab or not in HER—2 nonoverexpressors： final results of Cancer and Leukemia Group B protocol 9840. J Clin Oncol. 2008； 26： 1642—9.［PMID： 18375893］</w:t>
      </w:r>
    </w:p>
    <w:p>
      <w:pPr>
        <w:spacing w:after="120"/>
        <w:ind w:firstLine="210"/>
      </w:pPr>
      <w:r>
        <w:rPr>
          <w:rFonts w:ascii="Yu Mincho" w:cs="Yu Mincho" w:eastAsia="Yu Mincho" w:hAnsi="Yu Mincho"/>
          <w:sz w:val="21"/>
          <w:szCs w:val="21"/>
        </w:rPr>
        <w:t xml:space="preserve">12）Postma TJ, Vermorken JB, Liefting AJ, et al. Paclitaxel—induced neuropathy. Ann Oncol. 1995； 6： 489—94.［PMID： 7669713］</w:t>
      </w:r>
    </w:p>
    <w:p>
      <w:pPr>
        <w:spacing w:after="120"/>
        <w:ind w:firstLine="210"/>
      </w:pPr>
      <w:r>
        <w:rPr>
          <w:rFonts w:ascii="Yu Mincho" w:cs="Yu Mincho" w:eastAsia="Yu Mincho" w:hAnsi="Yu Mincho"/>
          <w:sz w:val="21"/>
          <w:szCs w:val="21"/>
        </w:rPr>
        <w:t xml:space="preserve">13）Hilkens PH, Verweij J, Stoter G, et al. Peripheral neurotoxicity induced by docetaxel. Neurology. 1996；46： 104—8.［PMID： 8559354］</w:t>
      </w:r>
    </w:p>
    <w:p>
      <w:pPr>
        <w:spacing w:after="120"/>
        <w:ind w:firstLine="210"/>
      </w:pPr>
      <w:r>
        <w:rPr>
          <w:rFonts w:ascii="Yu Mincho" w:cs="Yu Mincho" w:eastAsia="Yu Mincho" w:hAnsi="Yu Mincho"/>
          <w:sz w:val="21"/>
          <w:szCs w:val="21"/>
        </w:rPr>
        <w:t xml:space="preserve">14）Haim N, Epelbaum R, Ben—Shahar M, et al. Full dose vincristine（without 2—mg dose limit）in the treat-ment of lymphomas. Cancer. 1994； 73： 2515—9.［PMID： 8174048］</w:t>
      </w:r>
    </w:p>
    <w:p>
      <w:pPr>
        <w:spacing w:after="120"/>
        <w:ind w:firstLine="210"/>
      </w:pPr>
      <w:r>
        <w:rPr>
          <w:rFonts w:ascii="Yu Mincho" w:cs="Yu Mincho" w:eastAsia="Yu Mincho" w:hAnsi="Yu Mincho"/>
          <w:sz w:val="21"/>
          <w:szCs w:val="21"/>
        </w:rPr>
        <w:t xml:space="preserve">15）Legha SS. Vincristine neurotoxicity. Pathophysiology and management. Med Toxicol. 1986； 1： 421—7.［PMID： 3540519］</w:t>
      </w:r>
    </w:p>
    <w:p>
      <w:pPr>
        <w:spacing w:after="120"/>
        <w:ind w:firstLine="210"/>
      </w:pPr>
      <w:r>
        <w:rPr>
          <w:rFonts w:ascii="Yu Mincho" w:cs="Yu Mincho" w:eastAsia="Yu Mincho" w:hAnsi="Yu Mincho"/>
          <w:sz w:val="21"/>
          <w:szCs w:val="21"/>
        </w:rPr>
        <w:t xml:space="preserve">16）Cuzzubbo S, Javeri F, Tissier M, et al. Neurological adverse events associated with immune checkpoint inhibitors： Review of the literature. Eur J Cancer. 2017； 73： 1—8.［PMID： 28064139］</w:t>
      </w:r>
    </w:p>
    <w:p>
      <w:pPr>
        <w:spacing w:after="120"/>
        <w:ind w:firstLine="210"/>
      </w:pPr>
      <w:r>
        <w:rPr>
          <w:rFonts w:ascii="Yu Mincho" w:cs="Yu Mincho" w:eastAsia="Yu Mincho" w:hAnsi="Yu Mincho"/>
          <w:sz w:val="21"/>
          <w:szCs w:val="21"/>
        </w:rPr>
        <w:t xml:space="preserve">17）日本臨床腫瘍学会 編 ： がん免疫療法ガイドライン 第 2 版．p.43—46，金原出版，2019．</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2026-09-29T14:51:02.075Z</dcterms:created>
  <dcterms:modified xsi:type="dcterms:W3CDTF">2026-09-29T14:51:02.075Z</dcterms:modified>
</cp:coreProperties>
</file>

<file path=docProps/custom.xml><?xml version="1.0" encoding="utf-8"?>
<Properties xmlns="http://schemas.openxmlformats.org/officeDocument/2006/custom-properties" xmlns:vt="http://schemas.openxmlformats.org/officeDocument/2006/docPropsVTypes"/>
</file>