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Yu Mincho" w:cs="Yu Mincho" w:eastAsia="Yu Mincho" w:hAnsi="Yu Mincho"/>
          <w:sz w:val="18"/>
          <w:szCs w:val="18"/>
        </w:rPr>
        <w:t xml:space="preserve">がん薬物療法に伴う末梢神経障害診療ガイドライン 改訂版　第2章 総論　改訂原稿</w:t>
      </w:r>
    </w:p>
    <w:p>
      <w:pPr>
        <w:pStyle w:val="Title"/>
      </w:pPr>
      <w:r>
        <w:rPr>
          <w:rFonts w:ascii="Yu Gothic" w:cs="Yu Gothic" w:eastAsia="Yu Gothic" w:hAnsi="Yu Gothic"/>
          <w:b/>
          <w:bCs/>
          <w:sz w:val="32"/>
          <w:szCs w:val="32"/>
        </w:rPr>
        <w:t xml:space="preserve">H. CIPNの評価</w:t>
      </w:r>
    </w:p>
    <w:p>
      <w:pPr>
        <w:spacing w:after="120"/>
      </w:pPr>
      <w:r>
        <w:rPr>
          <w:rFonts w:ascii="Yu Mincho" w:cs="Yu Mincho" w:eastAsia="Yu Mincho" w:hAnsi="Yu Mincho"/>
          <w:sz w:val="21"/>
          <w:szCs w:val="21"/>
        </w:rPr>
        <w:t xml:space="preserve">担当：華井　／　2023年版 第2章 pp.23–27 の原文を起こしたもの</w:t>
      </w:r>
    </w:p>
    <w:p>
      <w:pPr>
        <w:pStyle w:val="Heading1"/>
        <w:spacing w:after="120" w:before="240"/>
      </w:pPr>
      <w:r>
        <w:rPr>
          <w:rFonts w:ascii="Yu Gothic" w:cs="Yu Gothic" w:eastAsia="Yu Gothic" w:hAnsi="Yu Gothic"/>
          <w:b/>
          <w:bCs/>
        </w:rPr>
        <w:t xml:space="preserve">1. 改訂の進め方</w:t>
      </w:r>
    </w:p>
    <w:p>
      <w:pPr>
        <w:spacing w:after="120"/>
      </w:pPr>
      <w:r>
        <w:rPr>
          <w:rFonts w:ascii="Yu Mincho" w:cs="Yu Mincho" w:eastAsia="Yu Mincho" w:hAnsi="Yu Mincho"/>
          <w:sz w:val="21"/>
          <w:szCs w:val="21"/>
        </w:rPr>
        <w:t xml:space="preserve">「3. 2023年版 原文」を直接書き換えてください（変更履歴をオンにして編集）。2023年版以降の知見の追加、図表の追加、古い記述の削除が改訂の中心です。図表は下の提案から選んでも、独自に提案しても構いません。作図は事務局で行えるので、内容（項目・数値・順序）を指定してくださ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項目</w:t>
            </w:r>
          </w:p>
        </w:tc>
        <w:tc>
          <w:tcPr>
            <w:tcW w:type="dxa" w:w="676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記入欄（担当委員）</w:t>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改訂の要点（2023年版から何を変えるか）</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追加・更新する図表（下の提案から選ぶ／独自案）</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追加する文献（PMID）</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2023年版から削除する記述</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事務局への依頼（作図・データ収集など）</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bl>
    <w:p>
      <w:pPr>
        <w:pStyle w:val="Heading1"/>
        <w:spacing w:after="120" w:before="240"/>
      </w:pPr>
      <w:r>
        <w:rPr>
          <w:rFonts w:ascii="Yu Gothic" w:cs="Yu Gothic" w:eastAsia="Yu Gothic" w:hAnsi="Yu Gothic"/>
          <w:b/>
          <w:bCs/>
        </w:rPr>
        <w:t xml:space="preserve">2. 図表の提案（事務局案）</w:t>
      </w:r>
    </w:p>
    <w:p>
      <w:pPr>
        <w:spacing w:after="120"/>
      </w:pPr>
      <w:r>
        <w:rPr>
          <w:rFonts w:ascii="Yu Mincho" w:cs="Yu Mincho" w:eastAsia="Yu Mincho" w:hAnsi="Yu Mincho"/>
          <w:sz w:val="21"/>
          <w:szCs w:val="21"/>
        </w:rPr>
        <w:t xml:space="preserve">2023年版に既にある図表：なし</w:t>
      </w:r>
    </w:p>
    <w:p>
      <w:pPr>
        <w:pStyle w:val="ListParagraph"/>
        <w:numPr>
          <w:ilvl w:val="0"/>
          <w:numId w:val="2"/>
        </w:numPr>
        <w:spacing w:after="60"/>
      </w:pPr>
      <w:r>
        <w:rPr>
          <w:rFonts w:ascii="Yu Mincho" w:cs="Yu Mincho" w:eastAsia="Yu Mincho" w:hAnsi="Yu Mincho"/>
          <w:sz w:val="21"/>
          <w:szCs w:val="21"/>
        </w:rPr>
        <w:t xml:space="preserve">表：評価指標の一覧マトリクス（分類・名称・測定内容・所要時間・日本語版の有無・臨床/研究の推奨場面）※本改訂の各CQでも同じ表を参照</w:t>
      </w:r>
    </w:p>
    <w:p>
      <w:pPr>
        <w:pStyle w:val="ListParagraph"/>
        <w:numPr>
          <w:ilvl w:val="0"/>
          <w:numId w:val="2"/>
        </w:numPr>
        <w:spacing w:after="60"/>
      </w:pPr>
      <w:r>
        <w:rPr>
          <w:rFonts w:ascii="Yu Mincho" w:cs="Yu Mincho" w:eastAsia="Yu Mincho" w:hAnsi="Yu Mincho"/>
          <w:sz w:val="21"/>
          <w:szCs w:val="21"/>
        </w:rPr>
        <w:t xml:space="preserve">図：臨床での評価アルゴリズム（毎コース：CTCAE＋PRO → 悪化時：定量評価・専門評価）</w:t>
      </w:r>
    </w:p>
    <w:p>
      <w:pPr>
        <w:pStyle w:val="ListParagraph"/>
        <w:numPr>
          <w:ilvl w:val="0"/>
          <w:numId w:val="2"/>
        </w:numPr>
        <w:spacing w:after="60"/>
      </w:pPr>
      <w:r>
        <w:rPr>
          <w:rFonts w:ascii="Yu Mincho" w:cs="Yu Mincho" w:eastAsia="Yu Mincho" w:hAnsi="Yu Mincho"/>
          <w:sz w:val="21"/>
          <w:szCs w:val="21"/>
        </w:rPr>
        <w:t xml:space="preserve">図：CTCAE Grade とPRO‑CTCAE・QLQ‑CIPN20 の対応イメージ（同じ患者を医療者評価と患者報告で見たときのずれ）</w:t>
      </w:r>
    </w:p>
    <w:p>
      <w:pPr>
        <w:pStyle w:val="ListParagraph"/>
        <w:numPr>
          <w:ilvl w:val="0"/>
          <w:numId w:val="2"/>
        </w:numPr>
        <w:spacing w:after="60"/>
      </w:pPr>
      <w:r>
        <w:rPr>
          <w:rFonts w:ascii="Yu Mincho" w:cs="Yu Mincho" w:eastAsia="Yu Mincho" w:hAnsi="Yu Mincho"/>
          <w:sz w:val="21"/>
          <w:szCs w:val="21"/>
        </w:rPr>
        <w:t xml:space="preserve">表：各評価法のMCID（臨床的に意味のある最小差）と根拠文献</w:t>
      </w:r>
    </w:p>
    <w:p>
      <w:pPr>
        <w:pStyle w:val="ListParagraph"/>
        <w:numPr>
          <w:ilvl w:val="0"/>
          <w:numId w:val="2"/>
        </w:numPr>
        <w:spacing w:after="60"/>
      </w:pPr>
      <w:r>
        <w:rPr>
          <w:rFonts w:ascii="Yu Mincho" w:cs="Yu Mincho" w:eastAsia="Yu Mincho" w:hAnsi="Yu Mincho"/>
          <w:sz w:val="21"/>
          <w:szCs w:val="21"/>
        </w:rPr>
        <w:t xml:space="preserve">図：定量的評価の用具写真（モノフィラメント、ディスクリミネーター、音叉、ペグボード）</w:t>
      </w:r>
    </w:p>
    <w:p>
      <w:pPr>
        <w:pStyle w:val="Heading1"/>
        <w:spacing w:after="120" w:before="240"/>
      </w:pPr>
      <w:r>
        <w:rPr>
          <w:rFonts w:ascii="Yu Gothic" w:cs="Yu Gothic" w:eastAsia="Yu Gothic" w:hAnsi="Yu Gothic"/>
          <w:b/>
          <w:bCs/>
        </w:rPr>
        <w:t xml:space="preserve">3. 2023年版 原文</w:t>
      </w:r>
    </w:p>
    <w:p>
      <w:pPr>
        <w:pStyle w:val="Heading3"/>
        <w:spacing w:after="120" w:before="240"/>
      </w:pPr>
      <w:r>
        <w:rPr>
          <w:rFonts w:ascii="Yu Gothic" w:cs="Yu Gothic" w:eastAsia="Yu Gothic" w:hAnsi="Yu Gothic"/>
          <w:b/>
          <w:bCs/>
        </w:rPr>
        <w:t xml:space="preserve">H CIPN の評価</w:t>
      </w:r>
    </w:p>
    <w:p>
      <w:pPr>
        <w:pStyle w:val="Heading3"/>
        <w:spacing w:after="120" w:before="240"/>
      </w:pPr>
      <w:r>
        <w:rPr>
          <w:rFonts w:ascii="Yu Gothic" w:cs="Yu Gothic" w:eastAsia="Yu Gothic" w:hAnsi="Yu Gothic"/>
          <w:b/>
          <w:bCs/>
        </w:rPr>
        <w:t xml:space="preserve">1．CIPN 評価の概要</w:t>
      </w:r>
    </w:p>
    <w:p>
      <w:pPr>
        <w:spacing w:after="120"/>
        <w:ind w:firstLine="210"/>
      </w:pPr>
      <w:r>
        <w:rPr>
          <w:rFonts w:ascii="Yu Mincho" w:cs="Yu Mincho" w:eastAsia="Yu Mincho" w:hAnsi="Yu Mincho"/>
          <w:sz w:val="21"/>
          <w:szCs w:val="21"/>
        </w:rPr>
        <w:t xml:space="preserve">CIPN の評価は，定量的評価（機能評価・電気生理学検査）と質問紙評価（医療者評価・患者報告）に大別される。CIPN の主な病態である痛み・しびれ感は，細かいものをつまめない・手に持ったものを保持できず落としてしまうといった手指機能の障害，ふらつく・つまずくといった歩行機能の障害を引き起こす。さらに機能障害により，移動・食事・入浴などの日常生活活動（activities of daily living；ADL），家事や買い物などの手段的日常生活活動（in-strumental activities of daily living；IADL）の障害が生じる。質問紙評価においては，痛みやうずきなどの自覚症状のほか，ADL や IADL の障害の程度も評価する場合が多いが，ADLや IADL に困難を感じるかどうかは，実際にその活動を日々行うかに依存し，就労職種や家事従事の程度など患者の生活様式にも大きく影響を受ける。そのため「CIPN が軽度であれば ADL・IADL の障害も軽度である」とは断定できない点に注意が必要である。50 論文 41評価尺度を比較したシステマティックレビューにおいては，CTCAEなど標準有害事象規準，患者報告アウトカム，疼痛尺度，定量的指標と自覚症状指標を含む複合総合評価指標といった尺度が検討されたが，特に神経障害性疼痛について CIPN に特化しない尺度やほかのがん疼痛尺度と重複しているものが多く，依然として正確な神経障害の病態把握や臨床的に問題視すべき症状閾値については評価できる尺度は開発されていないことが指摘されている1）。</w:t>
      </w:r>
    </w:p>
    <w:p>
      <w:pPr>
        <w:spacing w:after="120"/>
        <w:ind w:firstLine="210"/>
      </w:pPr>
      <w:r>
        <w:rPr>
          <w:rFonts w:ascii="Yu Mincho" w:cs="Yu Mincho" w:eastAsia="Yu Mincho" w:hAnsi="Yu Mincho"/>
          <w:sz w:val="21"/>
          <w:szCs w:val="21"/>
        </w:rPr>
        <w:t xml:space="preserve">CIPN の評価は症状の把握や代償的なアプローチを考えるうえで重要ではあるが，CIPN の臨床評価方法は確立していない。2,373 論文に使用された 117 の CIPN 評価をデルファイ評価したシステマティックレビュー論文においては，Patients Neurotoxicity Questionnaire（PNQ）が最も高く評価されたが，70％以上の医療者のコンセンサスを得られる CIPN 評価尺度はなかった2）。CIPN の評価においては PRO の重要性が指摘されており，臨床試験における使用も増加傾向にあるが，機能評価を含む客観評価も CIPN の全容とその対処方法を把握するためには必要であり，妥当な評価方法に関しては今後も検討の余地がある段階である3）。</w:t>
      </w:r>
    </w:p>
    <w:p>
      <w:pPr>
        <w:pStyle w:val="Heading3"/>
        <w:spacing w:after="120" w:before="240"/>
      </w:pPr>
      <w:r>
        <w:rPr>
          <w:rFonts w:ascii="Yu Gothic" w:cs="Yu Gothic" w:eastAsia="Yu Gothic" w:hAnsi="Yu Gothic"/>
          <w:b/>
          <w:bCs/>
        </w:rPr>
        <w:t xml:space="preserve">2．定量的評価</w:t>
      </w:r>
    </w:p>
    <w:p>
      <w:pPr>
        <w:spacing w:after="120"/>
        <w:ind w:firstLine="210"/>
      </w:pPr>
      <w:r>
        <w:rPr>
          <w:rFonts w:ascii="Yu Mincho" w:cs="Yu Mincho" w:eastAsia="Yu Mincho" w:hAnsi="Yu Mincho"/>
          <w:sz w:val="21"/>
          <w:szCs w:val="21"/>
        </w:rPr>
        <w:t xml:space="preserve">CIPN の症状は多様であり，定量的評価によりその性質を評価する。いずれも CIPN の確定診断のカットオフ値は設けられていないが，どの部位のどの感覚がどの程度障害されているか評価することで，代償的なアプローチを考察する手がかりとなる。</w:t>
      </w:r>
    </w:p>
    <w:p>
      <w:pPr>
        <w:pStyle w:val="Heading3"/>
        <w:spacing w:after="120" w:before="240"/>
      </w:pPr>
      <w:r>
        <w:rPr>
          <w:rFonts w:ascii="Yu Gothic" w:cs="Yu Gothic" w:eastAsia="Yu Gothic" w:hAnsi="Yu Gothic"/>
          <w:b/>
          <w:bCs/>
        </w:rPr>
        <w:t xml:space="preserve">1）感覚機能評価</w:t>
      </w:r>
    </w:p>
    <w:p>
      <w:pPr>
        <w:spacing w:after="120"/>
        <w:ind w:firstLine="210"/>
      </w:pPr>
      <w:r>
        <w:rPr>
          <w:rFonts w:ascii="Yu Mincho" w:cs="Yu Mincho" w:eastAsia="Yu Mincho" w:hAnsi="Yu Mincho"/>
          <w:sz w:val="21"/>
          <w:szCs w:val="21"/>
        </w:rPr>
        <w:t xml:space="preserve">静的触覚閾値の評価として，Semmes— Weinstein Monofilaments があり，閉眼下で太さの異なるフィラメントで刺激して，感じることのできた最小の刺激を評価し，触覚正常から防御知覚脱失までを評価する4）。より簡便な方法として 10 g を感知可能か評価する方法もある4）</w:t>
      </w:r>
      <w:r>
        <w:rPr>
          <w:rFonts w:ascii="Yu Mincho" w:cs="Yu Mincho" w:eastAsia="Yu Mincho" w:hAnsi="Yu Mincho"/>
          <w:sz w:val="21"/>
          <w:szCs w:val="21"/>
          <w:vertAlign w:val="superscript"/>
        </w:rPr>
        <w:t xml:space="preserve">5)</w:t>
      </w:r>
      <w:r>
        <w:rPr>
          <w:rFonts w:ascii="Yu Mincho" w:cs="Yu Mincho" w:eastAsia="Yu Mincho" w:hAnsi="Yu Mincho"/>
          <w:sz w:val="21"/>
          <w:szCs w:val="21"/>
        </w:rPr>
        <w:t xml:space="preserve">。</w:t>
      </w:r>
    </w:p>
    <w:p>
      <w:pPr>
        <w:spacing w:after="120"/>
        <w:ind w:firstLine="210"/>
      </w:pPr>
      <w:r>
        <w:rPr>
          <w:rFonts w:ascii="Yu Mincho" w:cs="Yu Mincho" w:eastAsia="Yu Mincho" w:hAnsi="Yu Mincho"/>
          <w:sz w:val="21"/>
          <w:szCs w:val="21"/>
        </w:rPr>
        <w:t xml:space="preserve">総論章また，障害を受けた受容器と神経線維の単位の評価として，ディスクリミネーターを用いた二点識別覚評価があり，間隔の異なる 2 本のピンが 2 本の刺激として感知できるかで分布密度を評価する。狭い間隔を感知できるほど，指先の器用さが保持されている。また高齢者では転倒者において間隔が広くなることが報告されている6）。</w:t>
      </w:r>
    </w:p>
    <w:p>
      <w:pPr>
        <w:spacing w:after="120"/>
        <w:ind w:firstLine="210"/>
      </w:pPr>
      <w:r>
        <w:rPr>
          <w:rFonts w:ascii="Yu Mincho" w:cs="Yu Mincho" w:eastAsia="Yu Mincho" w:hAnsi="Yu Mincho"/>
          <w:sz w:val="21"/>
          <w:szCs w:val="21"/>
        </w:rPr>
        <w:t xml:space="preserve">振動覚は tuning fork（音叉）で評価する。128 Hz の音叉の揺れが感知できなくなったところで「はい」と答えることで，どの程度の振動覚を感知できているか評価し，感覚性の運動障害の検知にも役立つ。10 秒感知ができなかった場合，神経障害を疑う7）。</w:t>
      </w:r>
    </w:p>
    <w:p>
      <w:pPr>
        <w:pStyle w:val="Heading3"/>
        <w:spacing w:after="120" w:before="240"/>
      </w:pPr>
      <w:r>
        <w:rPr>
          <w:rFonts w:ascii="Yu Gothic" w:cs="Yu Gothic" w:eastAsia="Yu Gothic" w:hAnsi="Yu Gothic"/>
          <w:b/>
          <w:bCs/>
        </w:rPr>
        <w:t xml:space="preserve">2）運動機能評価</w:t>
      </w:r>
    </w:p>
    <w:p>
      <w:pPr>
        <w:spacing w:after="120"/>
        <w:ind w:firstLine="210"/>
      </w:pPr>
      <w:r>
        <w:rPr>
          <w:rFonts w:ascii="Yu Mincho" w:cs="Yu Mincho" w:eastAsia="Yu Mincho" w:hAnsi="Yu Mincho"/>
          <w:sz w:val="21"/>
          <w:szCs w:val="21"/>
        </w:rPr>
        <w:t xml:space="preserve">移動能力の評価として Timed Up and Go や 6 分間歩行テストがある。いずれも患者が実際に立ち座りや歩行を行う評価であり，CIPN が歩行機能に及ぼす影響を評価でき，転倒リスクの検出に役立つ。また手指機能について Grooved Pegboard Test や Simple Test for Evaluating Hand Function を用いることで，CIPN が手の不器用さに及ぼす影響や疼痛誘発動作が評価できる。</w:t>
      </w:r>
    </w:p>
    <w:p>
      <w:pPr>
        <w:pStyle w:val="Heading3"/>
        <w:spacing w:after="120" w:before="240"/>
      </w:pPr>
      <w:r>
        <w:rPr>
          <w:rFonts w:ascii="Yu Gothic" w:cs="Yu Gothic" w:eastAsia="Yu Gothic" w:hAnsi="Yu Gothic"/>
          <w:b/>
          <w:bCs/>
        </w:rPr>
        <w:t xml:space="preserve">3）電気生理学検査</w:t>
      </w:r>
    </w:p>
    <w:p>
      <w:pPr>
        <w:spacing w:after="120"/>
        <w:ind w:firstLine="210"/>
      </w:pPr>
      <w:r>
        <w:rPr>
          <w:rFonts w:ascii="Yu Mincho" w:cs="Yu Mincho" w:eastAsia="Yu Mincho" w:hAnsi="Yu Mincho"/>
          <w:sz w:val="21"/>
          <w:szCs w:val="21"/>
        </w:rPr>
        <w:t xml:space="preserve">電気生理学検査は CIPN の検査としてのカットオフ値は確立していないが，CIPN により神経伝導検査における感覚振幅が特異的に下がることが報告されている5）</w:t>
      </w:r>
      <w:r>
        <w:rPr>
          <w:rFonts w:ascii="Yu Mincho" w:cs="Yu Mincho" w:eastAsia="Yu Mincho" w:hAnsi="Yu Mincho"/>
          <w:sz w:val="21"/>
          <w:szCs w:val="21"/>
          <w:vertAlign w:val="superscript"/>
        </w:rPr>
        <w:t xml:space="preserve">8)</w:t>
      </w:r>
      <w:r>
        <w:rPr>
          <w:rFonts w:ascii="Yu Mincho" w:cs="Yu Mincho" w:eastAsia="Yu Mincho" w:hAnsi="Yu Mincho"/>
          <w:sz w:val="21"/>
          <w:szCs w:val="21"/>
        </w:rPr>
        <w:t xml:space="preserve">。また，電流知覚閾値（current perception threshold；CPT）について CPT 2000 Hz が CIPN の症状との相関を示している9）。</w:t>
      </w:r>
    </w:p>
    <w:p>
      <w:pPr>
        <w:pStyle w:val="Heading3"/>
        <w:spacing w:after="120" w:before="240"/>
      </w:pPr>
      <w:r>
        <w:rPr>
          <w:rFonts w:ascii="Yu Gothic" w:cs="Yu Gothic" w:eastAsia="Yu Gothic" w:hAnsi="Yu Gothic"/>
          <w:b/>
          <w:bCs/>
        </w:rPr>
        <w:t xml:space="preserve">3．医療者による評価</w:t>
      </w:r>
    </w:p>
    <w:p>
      <w:pPr>
        <w:spacing w:after="120"/>
        <w:ind w:firstLine="210"/>
      </w:pPr>
      <w:r>
        <w:rPr>
          <w:rFonts w:ascii="Yu Mincho" w:cs="Yu Mincho" w:eastAsia="Yu Mincho" w:hAnsi="Yu Mincho"/>
          <w:sz w:val="21"/>
          <w:szCs w:val="21"/>
        </w:rPr>
        <w:t xml:space="preserve">米国 National Cancer Institute（NCI）の Cancer Therapy Evaluation Program が公表したスケールである有害事象共通用語規準（Common Terminology Criteria for Adverse Events；CTCAE）が広く用いられている。2022 年 11 月現在の最新版は ver5.0 であり Grade 1 が症状なし，Grade 2 が IADL 障害，Grade 3 が ADL 障害である。簡便に評価できる一方で，その境界の判断が難しく，また評価者（医療者）の裁量が反映されやすく患者の自覚症状との乖離が指摘されている10）。</w:t>
      </w:r>
    </w:p>
    <w:p>
      <w:pPr>
        <w:spacing w:after="120"/>
        <w:ind w:firstLine="210"/>
      </w:pPr>
      <w:r>
        <w:rPr>
          <w:rFonts w:ascii="Yu Mincho" w:cs="Yu Mincho" w:eastAsia="Yu Mincho" w:hAnsi="Yu Mincho"/>
          <w:sz w:val="21"/>
          <w:szCs w:val="21"/>
        </w:rPr>
        <w:t xml:space="preserve">そのほか，客観的所見の有無と機能障害の程度を判定基準とした Eastern Cooperative Oncology Group（ECOG）scores11）や，オキサリプラチン起因性末梢神経障害の評価に特化し7 日以上の症状持続の有無を判定基準とした Debiopharm 社の神経症状—感覚性毒性基準（DEB—NTC）がある12）。</w:t>
      </w:r>
    </w:p>
    <w:p>
      <w:pPr>
        <w:pStyle w:val="Heading3"/>
        <w:spacing w:after="120" w:before="240"/>
      </w:pPr>
      <w:r>
        <w:rPr>
          <w:rFonts w:ascii="Yu Gothic" w:cs="Yu Gothic" w:eastAsia="Yu Gothic" w:hAnsi="Yu Gothic"/>
          <w:b/>
          <w:bCs/>
        </w:rPr>
        <w:t xml:space="preserve">4．患者報告による評価</w:t>
      </w:r>
    </w:p>
    <w:p>
      <w:pPr>
        <w:spacing w:after="120"/>
        <w:ind w:firstLine="210"/>
      </w:pPr>
      <w:r>
        <w:rPr>
          <w:rFonts w:ascii="Yu Mincho" w:cs="Yu Mincho" w:eastAsia="Yu Mincho" w:hAnsi="Yu Mincho"/>
          <w:sz w:val="21"/>
          <w:szCs w:val="21"/>
        </w:rPr>
        <w:t xml:space="preserve">CIPN に関する患者報告アウトカム（patient—reported outcome；PRO）のうち，最も使用されている評価尺度はEuropean Organization for Research and Treatment of Cancer Quality of Life Questionnaire—CIPN twenty—item scale（QLQ—CIPN20）と Functional Assessment of Cancer Therapy／Gynecologic Oncology Group—Neurotoxicity（FACT—Ntx）であり，いずれも信頼性・妥当性が検証済みで NCI の専門家会議において臨床試験に使用することが推奨されている3）。</w:t>
      </w:r>
    </w:p>
    <w:p>
      <w:pPr>
        <w:spacing w:after="120"/>
        <w:ind w:firstLine="210"/>
      </w:pPr>
      <w:r>
        <w:rPr>
          <w:rFonts w:ascii="Yu Mincho" w:cs="Yu Mincho" w:eastAsia="Yu Mincho" w:hAnsi="Yu Mincho"/>
          <w:sz w:val="21"/>
          <w:szCs w:val="21"/>
        </w:rPr>
        <w:t xml:space="preserve">QLQ—CIPN20 は EORTC—QLQ—C30 の追加モジュールであり，20 項目 4 件法で過去 7 日間の感覚，運動，自律神経を評価する。ただし自律神経機能は他ドメインとの相関が少なく独立した頻度を示すため，16 項目版や 15 項目版が開発されている13）</w:t>
      </w:r>
      <w:r>
        <w:rPr>
          <w:rFonts w:ascii="Yu Mincho" w:cs="Yu Mincho" w:eastAsia="Yu Mincho" w:hAnsi="Yu Mincho"/>
          <w:sz w:val="21"/>
          <w:szCs w:val="21"/>
          <w:vertAlign w:val="superscript"/>
        </w:rPr>
        <w:t xml:space="preserve">14)</w:t>
      </w:r>
      <w:r>
        <w:rPr>
          <w:rFonts w:ascii="Yu Mincho" w:cs="Yu Mincho" w:eastAsia="Yu Mincho" w:hAnsi="Yu Mincho"/>
          <w:sz w:val="21"/>
          <w:szCs w:val="21"/>
        </w:rPr>
        <w:t xml:space="preserve">。</w:t>
      </w:r>
    </w:p>
    <w:p>
      <w:pPr>
        <w:spacing w:after="120"/>
        <w:ind w:firstLine="210"/>
      </w:pPr>
      <w:r>
        <w:rPr>
          <w:rFonts w:ascii="Yu Mincho" w:cs="Yu Mincho" w:eastAsia="Yu Mincho" w:hAnsi="Yu Mincho"/>
          <w:sz w:val="21"/>
          <w:szCs w:val="21"/>
        </w:rPr>
        <w:t xml:space="preserve">FACT—Ntx は 38 項目の 5 件法尺度であり，過去 7 日間の身体・社会（家族）・感情・機能の健康と神経毒性について評価する。12 項目または 4 項目の簡易版も発行されている。類似する尺度にタキサン系抗がん薬の副作用症状評価に特化した FACT—Taxane がある15）。</w:t>
      </w:r>
    </w:p>
    <w:p>
      <w:pPr>
        <w:spacing w:after="120"/>
        <w:ind w:firstLine="210"/>
      </w:pPr>
      <w:r>
        <w:rPr>
          <w:rFonts w:ascii="Yu Mincho" w:cs="Yu Mincho" w:eastAsia="Yu Mincho" w:hAnsi="Yu Mincho"/>
          <w:sz w:val="21"/>
          <w:szCs w:val="21"/>
        </w:rPr>
        <w:t xml:space="preserve">また，より簡便な尺度として，感覚・運動障害を 5 件法で評価したうえでその生活障害についての詳細を評価する Patient Neurotoxicity Questionnaire（PNQ）</w:t>
      </w:r>
      <w:r>
        <w:rPr>
          <w:rFonts w:ascii="Yu Mincho" w:cs="Yu Mincho" w:eastAsia="Yu Mincho" w:hAnsi="Yu Mincho"/>
          <w:sz w:val="21"/>
          <w:szCs w:val="21"/>
          <w:vertAlign w:val="superscript"/>
        </w:rPr>
        <w:t xml:space="preserve">16)</w:t>
      </w:r>
      <w:r>
        <w:rPr>
          <w:rFonts w:ascii="Yu Mincho" w:cs="Yu Mincho" w:eastAsia="Yu Mincho" w:hAnsi="Yu Mincho"/>
          <w:sz w:val="21"/>
          <w:szCs w:val="21"/>
        </w:rPr>
        <w:t xml:space="preserve">～18）や，CTCAE の患者報告版である PRO—CTCAE がある19）。いずれも知覚鈍麻・異常感覚・疼痛といった症状の詳細な質についての評価には向かないが，日常生活への影響度により症状を自己評価できる尺度である。</w:t>
      </w:r>
    </w:p>
    <w:p>
      <w:pPr>
        <w:spacing w:after="120"/>
        <w:ind w:firstLine="210"/>
      </w:pPr>
      <w:r>
        <w:rPr>
          <w:rFonts w:ascii="Yu Mincho" w:cs="Yu Mincho" w:eastAsia="Yu Mincho" w:hAnsi="Yu Mincho"/>
          <w:sz w:val="21"/>
          <w:szCs w:val="21"/>
        </w:rPr>
        <w:t xml:space="preserve">CIPN に特化しない痛みの尺度として，10 cm の線上に重症度を記載する Visual Analogue Scale，24 時間以内の痛みを 10 段階評価する Pain Intensity Numerical Rating Scale，痛みの頻度，強度，場所，質を問う Brief Pain Inventory がある20）。Brief Pain Inventory に関しては短縮版の使用が臨床上推奨されており，最も強い痛み・最も弱い痛み・平均・最近・姿勢ごとの痛みについて 10 段階で自己評価する21）。</w:t>
      </w:r>
    </w:p>
    <w:p>
      <w:pPr>
        <w:spacing w:after="120"/>
        <w:ind w:firstLine="210"/>
      </w:pPr>
      <w:r>
        <w:rPr>
          <w:rFonts w:ascii="Yu Mincho" w:cs="Yu Mincho" w:eastAsia="Yu Mincho" w:hAnsi="Yu Mincho"/>
          <w:sz w:val="21"/>
          <w:szCs w:val="21"/>
        </w:rPr>
        <w:t xml:space="preserve">箸を使うなどの日本の生活背景を考慮したうえで，CIPN の多様な症状を評価し効果的なマネジメントを検討するための尺度として，本邦で「がんサバイバーの化学療法に関連する末梢神経障害の包括的評価尺度（CAS—CIPN）」が開発され，信頼性・妥当性が検証されている22）。CAS—CIPN は，負の感情を伴う生活支障への脅威，手の巧緻動作障害，治療選択／マネジメントの自信，手掌・足底の感覚異常の 4 つの下位尺度から構成される，15 項目・4 件法の質問紙であり，FACT—Ntx と強い相関が認められている。質問紙は Web 申請により使用することが可能である。</w:t>
      </w:r>
    </w:p>
    <w:p>
      <w:pPr>
        <w:pStyle w:val="Heading3"/>
        <w:spacing w:after="120" w:before="240"/>
      </w:pPr>
      <w:r>
        <w:rPr>
          <w:rFonts w:ascii="Yu Gothic" w:cs="Yu Gothic" w:eastAsia="Yu Gothic" w:hAnsi="Yu Gothic"/>
          <w:b/>
          <w:bCs/>
        </w:rPr>
        <w:t xml:space="preserve">5．複合評価指標</w:t>
      </w:r>
    </w:p>
    <w:p>
      <w:pPr>
        <w:spacing w:after="120"/>
        <w:ind w:firstLine="210"/>
      </w:pPr>
      <w:r>
        <w:rPr>
          <w:rFonts w:ascii="Yu Mincho" w:cs="Yu Mincho" w:eastAsia="Yu Mincho" w:hAnsi="Yu Mincho"/>
          <w:sz w:val="21"/>
          <w:szCs w:val="21"/>
        </w:rPr>
        <w:t xml:space="preserve">Total Neuropathy Score（TNS）は定量的指標と自覚症状指標を含む複合総合評価指標であり，自覚症状評価と膝蓋腱反射や握力測定などの定量的評価が含まれる。</w:t>
      </w:r>
    </w:p>
    <w:p>
      <w:pPr>
        <w:spacing w:after="120"/>
        <w:ind w:firstLine="210"/>
      </w:pPr>
      <w:r>
        <w:rPr>
          <w:rFonts w:ascii="Yu Mincho" w:cs="Yu Mincho" w:eastAsia="Yu Mincho" w:hAnsi="Yu Mincho"/>
          <w:sz w:val="21"/>
          <w:szCs w:val="21"/>
        </w:rPr>
        <w:t xml:space="preserve">その内容により，modified TNS や TNS—clinical などいくつかのバージョンがあるが，いずれも CTCAE との相関が認められている7）</w:t>
      </w:r>
      <w:r>
        <w:rPr>
          <w:rFonts w:ascii="Yu Mincho" w:cs="Yu Mincho" w:eastAsia="Yu Mincho" w:hAnsi="Yu Mincho"/>
          <w:sz w:val="21"/>
          <w:szCs w:val="21"/>
          <w:vertAlign w:val="superscript"/>
        </w:rPr>
        <w:t xml:space="preserve">23)</w:t>
      </w:r>
      <w:r>
        <w:rPr>
          <w:rFonts w:ascii="Yu Mincho" w:cs="Yu Mincho" w:eastAsia="Yu Mincho" w:hAnsi="Yu Mincho"/>
          <w:sz w:val="21"/>
          <w:szCs w:val="21"/>
        </w:rPr>
        <w:t xml:space="preserve">。</w:t>
      </w:r>
    </w:p>
    <w:p>
      <w:pPr>
        <w:pStyle w:val="Heading3"/>
        <w:spacing w:after="120" w:before="240"/>
      </w:pPr>
      <w:r>
        <w:rPr>
          <w:rFonts w:ascii="Yu Gothic" w:cs="Yu Gothic" w:eastAsia="Yu Gothic" w:hAnsi="Yu Gothic"/>
          <w:b/>
          <w:bCs/>
        </w:rPr>
        <w:t xml:space="preserve">6．結語</w:t>
      </w:r>
    </w:p>
    <w:p>
      <w:pPr>
        <w:spacing w:after="120"/>
        <w:ind w:firstLine="210"/>
      </w:pPr>
      <w:r>
        <w:rPr>
          <w:rFonts w:ascii="Yu Mincho" w:cs="Yu Mincho" w:eastAsia="Yu Mincho" w:hAnsi="Yu Mincho"/>
          <w:sz w:val="21"/>
          <w:szCs w:val="21"/>
        </w:rPr>
        <w:t xml:space="preserve">CIPN の評価は，痛みの評価から神経学的評価まで多岐にわたるが，最も臨床上有用性の高い評価は患者報告である24）。症状によっては CIPN か判断しがたいものもあるが，問診を通じて ADL・QOL への影響を評価し，心理影響や代償的アプローチも視野に入れて対処を考えることが望ましい。</w:t>
      </w:r>
    </w:p>
    <w:p>
      <w:pPr>
        <w:spacing w:after="120"/>
        <w:ind w:firstLine="210"/>
      </w:pPr>
      <w:r>
        <w:rPr>
          <w:rFonts w:ascii="Yu Mincho" w:cs="Yu Mincho" w:eastAsia="Yu Mincho" w:hAnsi="Yu Mincho"/>
          <w:sz w:val="21"/>
          <w:szCs w:val="21"/>
        </w:rPr>
        <w:t xml:space="preserve">（華井 明子）総論章</w:t>
      </w:r>
    </w:p>
    <w:p>
      <w:pPr>
        <w:pStyle w:val="Heading2"/>
        <w:spacing w:after="120" w:before="240"/>
      </w:pPr>
      <w:r>
        <w:rPr>
          <w:rFonts w:ascii="Yu Gothic" w:cs="Yu Gothic" w:eastAsia="Yu Gothic" w:hAnsi="Yu Gothic"/>
          <w:b/>
          <w:bCs/>
        </w:rPr>
        <w:t xml:space="preserve">文献（2023年版）</w:t>
      </w:r>
    </w:p>
    <w:p>
      <w:pPr>
        <w:spacing w:after="120"/>
        <w:ind w:firstLine="210"/>
      </w:pPr>
      <w:r>
        <w:rPr>
          <w:rFonts w:ascii="Yu Mincho" w:cs="Yu Mincho" w:eastAsia="Yu Mincho" w:hAnsi="Yu Mincho"/>
          <w:sz w:val="21"/>
          <w:szCs w:val="21"/>
        </w:rPr>
        <w:t xml:space="preserve">1）Park SB, Alberti P, Kolb NA, et al. Overview and critical revision of clinical assessment tools in chemo-therapy—induced peripheral neurotoxicity. J Peripher Nerv Syst. 2019； 24： S13—25.［PMID： 31647154］</w:t>
      </w:r>
    </w:p>
    <w:p>
      <w:pPr>
        <w:spacing w:after="120"/>
        <w:ind w:firstLine="210"/>
      </w:pPr>
      <w:r>
        <w:rPr>
          <w:rFonts w:ascii="Yu Mincho" w:cs="Yu Mincho" w:eastAsia="Yu Mincho" w:hAnsi="Yu Mincho"/>
          <w:sz w:val="21"/>
          <w:szCs w:val="21"/>
        </w:rPr>
        <w:t xml:space="preserve">2）McCrary JM, Goldstein D, Boyle F, et al； IN FOCUS Delphi working party. Optimal clinical assessment strategies for chemotherapy—induced peripheral neuropathy（CIPN）： a systematic review and Delphi survey. Support Care Cancer. 2017； 25： 3485—93.［PMID： 28589310］</w:t>
      </w:r>
    </w:p>
    <w:p>
      <w:pPr>
        <w:spacing w:after="120"/>
        <w:ind w:firstLine="210"/>
      </w:pPr>
      <w:r>
        <w:rPr>
          <w:rFonts w:ascii="Yu Mincho" w:cs="Yu Mincho" w:eastAsia="Yu Mincho" w:hAnsi="Yu Mincho"/>
          <w:sz w:val="21"/>
          <w:szCs w:val="21"/>
        </w:rPr>
        <w:t xml:space="preserve">3）Dorsey SG, Kleckner IR, Barton D, et al. The National Cancer Institute Clinical Trials Planning Meeting for Prevention and Treatment of Chemotherapy—Induced Peripheral Neuropathy. J Natl Cancer Inst.2019； 111： 531—7.［PMID： 30715378］</w:t>
      </w:r>
    </w:p>
    <w:p>
      <w:pPr>
        <w:spacing w:after="120"/>
        <w:ind w:firstLine="210"/>
      </w:pPr>
      <w:r>
        <w:rPr>
          <w:rFonts w:ascii="Yu Mincho" w:cs="Yu Mincho" w:eastAsia="Yu Mincho" w:hAnsi="Yu Mincho"/>
          <w:sz w:val="21"/>
          <w:szCs w:val="21"/>
        </w:rPr>
        <w:t xml:space="preserve">4）Dros J, Wewerinke A, Bindels PJ, et al. Accuracy of monofilament testing to diagnose peripheral neu-ropathy： a systematic review. Ann Fam Med. 2009； 7： 555—8.［PMID： 19901316］</w:t>
      </w:r>
    </w:p>
    <w:p>
      <w:pPr>
        <w:spacing w:after="120"/>
        <w:ind w:firstLine="210"/>
      </w:pPr>
      <w:r>
        <w:rPr>
          <w:rFonts w:ascii="Yu Mincho" w:cs="Yu Mincho" w:eastAsia="Yu Mincho" w:hAnsi="Yu Mincho"/>
          <w:sz w:val="21"/>
          <w:szCs w:val="21"/>
        </w:rPr>
        <w:t xml:space="preserve">5）Molassiotis A, Cheng HL, Lopez V, et al. Are we mis—estimating chemotherapy—induced peripheral neuropathy? Analysis of assessment methodologies from a prospective, multinational, longitudinal cohort study of patients receiving neurotoxic chemotherapy. BMC Cancer. 2019； 19： 132.［PMID：30736741］</w:t>
      </w:r>
    </w:p>
    <w:p>
      <w:pPr>
        <w:spacing w:after="120"/>
        <w:ind w:firstLine="210"/>
      </w:pPr>
      <w:r>
        <w:rPr>
          <w:rFonts w:ascii="Yu Mincho" w:cs="Yu Mincho" w:eastAsia="Yu Mincho" w:hAnsi="Yu Mincho"/>
          <w:sz w:val="21"/>
          <w:szCs w:val="21"/>
        </w:rPr>
        <w:t xml:space="preserve">6）Melzer I, Benjuya N, Kaplanski J. Postural stability in the elderly： a comparison between fallers and non—fallers. Age Ageing. 2004； 33： 602—7.［PMID： 15501837］</w:t>
      </w:r>
    </w:p>
    <w:p>
      <w:pPr>
        <w:spacing w:after="120"/>
        <w:ind w:firstLine="210"/>
      </w:pPr>
      <w:r>
        <w:rPr>
          <w:rFonts w:ascii="Yu Mincho" w:cs="Yu Mincho" w:eastAsia="Yu Mincho" w:hAnsi="Yu Mincho"/>
          <w:sz w:val="21"/>
          <w:szCs w:val="21"/>
        </w:rPr>
        <w:t xml:space="preserve">7）Smith EM, Beck SL, Cohen J. The total neuropathy score： a tool for measuring chemotherapy—induced peripheral neuropathy. Oncol Nurs Forum. 2008； 35： 96—102.［PMID： 18192158］</w:t>
      </w:r>
    </w:p>
    <w:p>
      <w:pPr>
        <w:spacing w:after="120"/>
        <w:ind w:firstLine="210"/>
      </w:pPr>
      <w:r>
        <w:rPr>
          <w:rFonts w:ascii="Yu Mincho" w:cs="Yu Mincho" w:eastAsia="Yu Mincho" w:hAnsi="Yu Mincho"/>
          <w:sz w:val="21"/>
          <w:szCs w:val="21"/>
        </w:rPr>
        <w:t xml:space="preserve">8）Matsuoka A, Mitsuma A, Maeda O, et al. Quantitative assessment of chemotherapy—induced peripheral neurotoxicity using a point—of—care nerve conduction device. Cancer Sci. 2016； 107： 1453—7.［PMID：27412083］</w:t>
      </w:r>
    </w:p>
    <w:p>
      <w:pPr>
        <w:spacing w:after="120"/>
        <w:ind w:firstLine="210"/>
      </w:pPr>
      <w:r>
        <w:rPr>
          <w:rFonts w:ascii="Yu Mincho" w:cs="Yu Mincho" w:eastAsia="Yu Mincho" w:hAnsi="Yu Mincho"/>
          <w:sz w:val="21"/>
          <w:szCs w:val="21"/>
        </w:rPr>
        <w:t xml:space="preserve">9）Griffith KA, Couture DJ, Zhu S, et al. Evaluation of chemotherapy—induced peripheral neuropathy using current perception threshold and clinical evaluations. Support Care Cancer. 2014； 22： 1161—9.［PMID：24362842］</w:t>
      </w:r>
    </w:p>
    <w:p>
      <w:pPr>
        <w:spacing w:after="120"/>
        <w:ind w:firstLine="210"/>
      </w:pPr>
      <w:r>
        <w:rPr>
          <w:rFonts w:ascii="Yu Mincho" w:cs="Yu Mincho" w:eastAsia="Yu Mincho" w:hAnsi="Yu Mincho"/>
          <w:sz w:val="21"/>
          <w:szCs w:val="21"/>
        </w:rPr>
        <w:t xml:space="preserve">10）Nyrop KA, Deal AM, Reeder—Hayes KE, et al. Patient—reported and clinician—reported chemotherapy—induced peripheral neuropathy in patients with early breast cancer： Current clinical practice. Cancer.2019； 125： 2945—54.［PMID： 31090930］</w:t>
      </w:r>
    </w:p>
    <w:p>
      <w:pPr>
        <w:spacing w:after="120"/>
        <w:ind w:firstLine="210"/>
      </w:pPr>
      <w:r>
        <w:rPr>
          <w:rFonts w:ascii="Yu Mincho" w:cs="Yu Mincho" w:eastAsia="Yu Mincho" w:hAnsi="Yu Mincho"/>
          <w:sz w:val="21"/>
          <w:szCs w:val="21"/>
        </w:rPr>
        <w:t xml:space="preserve">11）Cavaletti G, Jann S, Pace A, et al； Italian NETox Group. Multi—center assessment of the Total Neuropa-thy Score for chemotherapy—induced peripheral neurotoxicity. J Peripher Nerv Syst. 2006； 11： 135—41.［PMID： 16787511］</w:t>
      </w:r>
    </w:p>
    <w:p>
      <w:pPr>
        <w:spacing w:after="120"/>
        <w:ind w:firstLine="210"/>
      </w:pPr>
      <w:r>
        <w:rPr>
          <w:rFonts w:ascii="Yu Mincho" w:cs="Yu Mincho" w:eastAsia="Yu Mincho" w:hAnsi="Yu Mincho"/>
          <w:sz w:val="21"/>
          <w:szCs w:val="21"/>
        </w:rPr>
        <w:t xml:space="preserve">12）Inoue N, Ishida H, Sano M, et al. Discrepancy between the NCI—CTCAE and DEB—NTC scales in the evaluation of oxaliplatin—related neurotoxicity in patients with metastatic colorectal cancer. Int J Clin Oncol. 2012； 17： 341—7.［PMID： 21833683］</w:t>
      </w:r>
    </w:p>
    <w:p>
      <w:pPr>
        <w:spacing w:after="120"/>
        <w:ind w:firstLine="210"/>
      </w:pPr>
      <w:r>
        <w:rPr>
          <w:rFonts w:ascii="Yu Mincho" w:cs="Yu Mincho" w:eastAsia="Yu Mincho" w:hAnsi="Yu Mincho"/>
          <w:sz w:val="21"/>
          <w:szCs w:val="21"/>
        </w:rPr>
        <w:t xml:space="preserve">13）Rattanakrong N, Thipprasopchock S, Siriphorn A, et al. Reliability and Validity of the EORTC QLQ—CIPN20（European Organization for Research and Treatment of Cancer Quality of Life Questionnaire—Chemotherapy—Induced Peripheral Neuropathy 20—Item Scale）among Thai Women with Breast Can-cer Undergoing Taxane—Based Chemotherapy. Asian Pac J Cancer Prev. 2022； 23： 1547—53.［PMID：35633537］</w:t>
      </w:r>
    </w:p>
    <w:p>
      <w:pPr>
        <w:spacing w:after="120"/>
        <w:ind w:firstLine="210"/>
      </w:pPr>
      <w:r>
        <w:rPr>
          <w:rFonts w:ascii="Yu Mincho" w:cs="Yu Mincho" w:eastAsia="Yu Mincho" w:hAnsi="Yu Mincho"/>
          <w:sz w:val="21"/>
          <w:szCs w:val="21"/>
        </w:rPr>
        <w:t xml:space="preserve">14）Postma TJ, Aaronson NK, Heimans JJ, et al； EORTC Quality of Life Group. The development of an EORTC quality of life questionnaire to assess chemotherapy—induced peripheral neuropathy： the QLQ—CIPN20. Eur J Cancer. 2005； 41： 1135—9.［PMID： 15911236］</w:t>
      </w:r>
    </w:p>
    <w:p>
      <w:pPr>
        <w:spacing w:after="120"/>
        <w:ind w:firstLine="210"/>
      </w:pPr>
      <w:r>
        <w:rPr>
          <w:rFonts w:ascii="Yu Mincho" w:cs="Yu Mincho" w:eastAsia="Yu Mincho" w:hAnsi="Yu Mincho"/>
          <w:sz w:val="21"/>
          <w:szCs w:val="21"/>
        </w:rPr>
        <w:t xml:space="preserve">15）Cella D, Peterman A, Hudgens S, et al. Measuring the side effects of taxane therapy in oncology： the functional assesment of cancer therapy—taxane（FACT—taxane）. Cancer. 2003； 98： 822—31.［PMID：12910528］</w:t>
      </w:r>
    </w:p>
    <w:p>
      <w:pPr>
        <w:spacing w:after="120"/>
        <w:ind w:firstLine="210"/>
      </w:pPr>
      <w:r>
        <w:rPr>
          <w:rFonts w:ascii="Yu Mincho" w:cs="Yu Mincho" w:eastAsia="Yu Mincho" w:hAnsi="Yu Mincho"/>
          <w:sz w:val="21"/>
          <w:szCs w:val="21"/>
        </w:rPr>
        <w:t xml:space="preserve">16）Hausheer FH, Schilsky RL, Bain S, et al. Diagnosis, management, and evaluation of chemotherapy—induced peripheral neuropathy. Semin Oncol. 2006； 33： 15—49.［PMID： 16473643］</w:t>
      </w:r>
    </w:p>
    <w:p>
      <w:pPr>
        <w:spacing w:after="120"/>
        <w:ind w:firstLine="210"/>
      </w:pPr>
      <w:r>
        <w:rPr>
          <w:rFonts w:ascii="Yu Mincho" w:cs="Yu Mincho" w:eastAsia="Yu Mincho" w:hAnsi="Yu Mincho"/>
          <w:sz w:val="21"/>
          <w:szCs w:val="21"/>
        </w:rPr>
        <w:t xml:space="preserve">17）Shimozuma K, Ohashi Y, Takeuchi A, et al. Feasibility and validity of the Patient Neurotoxicity Ques-tionnaire during taxane chemotherapy in a phase Ⅲ randomized trial in patients with breast cancer：N—SAS BC 02. Support Care Cancer. 2009； 17： 1483—91.［PMID： 19330359］</w:t>
      </w:r>
    </w:p>
    <w:p>
      <w:pPr>
        <w:spacing w:after="120"/>
        <w:ind w:firstLine="210"/>
      </w:pPr>
      <w:r>
        <w:rPr>
          <w:rFonts w:ascii="Yu Mincho" w:cs="Yu Mincho" w:eastAsia="Yu Mincho" w:hAnsi="Yu Mincho"/>
          <w:sz w:val="21"/>
          <w:szCs w:val="21"/>
        </w:rPr>
        <w:t xml:space="preserve">18）Shimozuma K, Ohashi Y, Takeuchi A, et al. Taxane—induced peripheral neuropathy and health—related quality of life in postoperative breast cancer patients undergoing adjuvant chemotherapy： N—SAS BC 02, a randomized clinical trial. Support Care Cancer. 2012； 20： 3355—64.［PMID： 22584733］</w:t>
      </w:r>
    </w:p>
    <w:p>
      <w:pPr>
        <w:spacing w:after="120"/>
        <w:ind w:firstLine="210"/>
      </w:pPr>
      <w:r>
        <w:rPr>
          <w:rFonts w:ascii="Yu Mincho" w:cs="Yu Mincho" w:eastAsia="Yu Mincho" w:hAnsi="Yu Mincho"/>
          <w:sz w:val="21"/>
          <w:szCs w:val="21"/>
        </w:rPr>
        <w:t xml:space="preserve">19）U. S. Department of Health and Human Services FDA Center for Drug Evaluation and Research； U. S.Department of Health and Human Services FDA Center for Biologics Evaluation and Research； U. S.Department of Health and Human Services FDA Center for Devices and Radiological Health. Guidance for industry： patient—reported outcome measures： use in medical product development to support labeling claims： draft guidance. Health Qual Life Outcomes. 2006； 4： 79.［PMID： 17034633］</w:t>
      </w:r>
    </w:p>
    <w:p>
      <w:pPr>
        <w:spacing w:after="120"/>
        <w:ind w:firstLine="210"/>
      </w:pPr>
      <w:r>
        <w:rPr>
          <w:rFonts w:ascii="Yu Mincho" w:cs="Yu Mincho" w:eastAsia="Yu Mincho" w:hAnsi="Yu Mincho"/>
          <w:sz w:val="21"/>
          <w:szCs w:val="21"/>
        </w:rPr>
        <w:t xml:space="preserve">20）Cavaletti G, Cornblath DR, Merkies ISJ, et al； CI—PeriNomS Group, Mazzeo A, Pace A, Pessino A, et al.The chemotherapy—induced peripheral neuropathy outcome measures standardization study： from consensus to the first validity and reliability findings. Ann Oncol. 2013； 24： 454—62.［PMID： 22910842］</w:t>
      </w:r>
    </w:p>
    <w:p>
      <w:pPr>
        <w:spacing w:after="120"/>
        <w:ind w:firstLine="210"/>
      </w:pPr>
      <w:r>
        <w:rPr>
          <w:rFonts w:ascii="Yu Mincho" w:cs="Yu Mincho" w:eastAsia="Yu Mincho" w:hAnsi="Yu Mincho"/>
          <w:sz w:val="21"/>
          <w:szCs w:val="21"/>
        </w:rPr>
        <w:t xml:space="preserve">21）Cleeland CS. The Brief Pain Inventory： User Guide. The University of Texas MD Anderson Cancer Center. Houston, Texas, 2009</w:t>
      </w:r>
    </w:p>
    <w:p>
      <w:pPr>
        <w:spacing w:after="120"/>
        <w:ind w:firstLine="210"/>
      </w:pPr>
      <w:r>
        <w:rPr>
          <w:rFonts w:ascii="Yu Mincho" w:cs="Yu Mincho" w:eastAsia="Yu Mincho" w:hAnsi="Yu Mincho"/>
          <w:sz w:val="21"/>
          <w:szCs w:val="21"/>
        </w:rPr>
        <w:t xml:space="preserve">22）Kanda K, Fujimoto K, Mochizuki R, et al. Development and validation of the comprehensive assessment scale for chemotherapy—induced peripheral neuropathy in survivors of cancer. BMC Cancer. 2019； 19：904.［PMID： 31506070］</w:t>
      </w:r>
    </w:p>
    <w:p>
      <w:pPr>
        <w:spacing w:after="120"/>
        <w:ind w:firstLine="210"/>
      </w:pPr>
      <w:r>
        <w:rPr>
          <w:rFonts w:ascii="Yu Mincho" w:cs="Yu Mincho" w:eastAsia="Yu Mincho" w:hAnsi="Yu Mincho"/>
          <w:sz w:val="21"/>
          <w:szCs w:val="21"/>
        </w:rPr>
        <w:t xml:space="preserve">23）Cavaletti G, Frigeni B, Lanzani F, et a； Italian NETox Group. The Total Neuropathy Score as an assess-ment tool for grading the course of chemotherapy—induced peripheral neurotoxicity： comparison with the National Cancer Institute—Common Toxicity Scale. J Peripher Nerv Syst. 2007； 12： 210—5.［PMID：17868248］</w:t>
      </w:r>
    </w:p>
    <w:p>
      <w:pPr>
        <w:spacing w:after="120"/>
        <w:ind w:firstLine="210"/>
      </w:pPr>
      <w:r>
        <w:rPr>
          <w:rFonts w:ascii="Yu Mincho" w:cs="Yu Mincho" w:eastAsia="Yu Mincho" w:hAnsi="Yu Mincho"/>
          <w:sz w:val="21"/>
          <w:szCs w:val="21"/>
        </w:rPr>
        <w:t xml:space="preserve">24）Lustberg M, Loprinzi C（eds）. Diagnosis, Management and Emerging Strategies for Chemotherapy—Induced Neuropathy： A MASCC Book. Springer, 2021.総論章</w:t>
      </w:r>
    </w:p>
    <w:sectPr>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2026-09-29T14:51:02.085Z</dcterms:created>
  <dcterms:modified xsi:type="dcterms:W3CDTF">2026-09-29T14:51:02.085Z</dcterms:modified>
</cp:coreProperties>
</file>

<file path=docProps/custom.xml><?xml version="1.0" encoding="utf-8"?>
<Properties xmlns="http://schemas.openxmlformats.org/officeDocument/2006/custom-properties" xmlns:vt="http://schemas.openxmlformats.org/officeDocument/2006/docPropsVTypes"/>
</file>