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Yu Mincho" w:cs="Yu Mincho" w:eastAsia="Yu Mincho" w:hAnsi="Yu Mincho"/>
          <w:sz w:val="18"/>
          <w:szCs w:val="18"/>
        </w:rPr>
        <w:t xml:space="preserve">がん薬物療法に伴う末梢神経障害診療ガイドライン 改訂版　第2章 総論　改訂原稿</w:t>
      </w:r>
    </w:p>
    <w:p>
      <w:pPr>
        <w:pStyle w:val="Title"/>
      </w:pPr>
      <w:r>
        <w:rPr>
          <w:rFonts w:ascii="Yu Gothic" w:cs="Yu Gothic" w:eastAsia="Yu Gothic" w:hAnsi="Yu Gothic"/>
          <w:b/>
          <w:bCs/>
          <w:sz w:val="32"/>
          <w:szCs w:val="32"/>
        </w:rPr>
        <w:t xml:space="preserve">I-2. 感覚器障害（聴覚，視覚，嗅覚など）</w:t>
      </w:r>
    </w:p>
    <w:p>
      <w:pPr>
        <w:spacing w:after="120"/>
      </w:pPr>
      <w:r>
        <w:rPr>
          <w:rFonts w:ascii="Yu Mincho" w:cs="Yu Mincho" w:eastAsia="Yu Mincho" w:hAnsi="Yu Mincho"/>
          <w:sz w:val="21"/>
          <w:szCs w:val="21"/>
        </w:rPr>
        <w:t xml:space="preserve">担当：古川　／　2023年版 第2章 pp.33–37 の原文を起こしたもの</w:t>
      </w:r>
    </w:p>
    <w:p>
      <w:pPr>
        <w:pStyle w:val="Heading1"/>
        <w:spacing w:after="120" w:before="240"/>
      </w:pPr>
      <w:r>
        <w:rPr>
          <w:rFonts w:ascii="Yu Gothic" w:cs="Yu Gothic" w:eastAsia="Yu Gothic" w:hAnsi="Yu Gothic"/>
          <w:b/>
          <w:bCs/>
        </w:rPr>
        <w:t xml:space="preserve">1. 改訂の進め方</w:t>
      </w:r>
    </w:p>
    <w:p>
      <w:pPr>
        <w:spacing w:after="120"/>
      </w:pPr>
      <w:r>
        <w:rPr>
          <w:rFonts w:ascii="Yu Mincho" w:cs="Yu Mincho" w:eastAsia="Yu Mincho" w:hAnsi="Yu Mincho"/>
          <w:sz w:val="21"/>
          <w:szCs w:val="21"/>
        </w:rPr>
        <w:t xml:space="preserve">「3. 2023年版 原文」を直接書き換えてください（変更履歴をオンにして編集）。2023年版以降の知見の追加、図表の追加、古い記述の削除が改訂の中心です。図表は下の提案から選んでも、独自に提案しても構いません。作図は事務局で行えるので、内容（項目・数値・順序）を指定してくださ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項目</w:t>
            </w:r>
          </w:p>
        </w:tc>
        <w:tc>
          <w:tcPr>
            <w:tcW w:type="dxa" w:w="676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記入欄（担当委員）</w:t>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改訂の要点（2023年版から何を変えるか）</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追加・更新する図表（下の提案から選ぶ／独自案）</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追加する文献（PMID）</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2023年版から削除する記述</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事務局への依頼（作図・データ収集など）</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bl>
    <w:p>
      <w:pPr>
        <w:pStyle w:val="Heading1"/>
        <w:spacing w:after="120" w:before="240"/>
      </w:pPr>
      <w:r>
        <w:rPr>
          <w:rFonts w:ascii="Yu Gothic" w:cs="Yu Gothic" w:eastAsia="Yu Gothic" w:hAnsi="Yu Gothic"/>
          <w:b/>
          <w:bCs/>
        </w:rPr>
        <w:t xml:space="preserve">2. 図表の提案（事務局案）</w:t>
      </w:r>
    </w:p>
    <w:p>
      <w:pPr>
        <w:spacing w:after="120"/>
      </w:pPr>
      <w:r>
        <w:rPr>
          <w:rFonts w:ascii="Yu Mincho" w:cs="Yu Mincho" w:eastAsia="Yu Mincho" w:hAnsi="Yu Mincho"/>
          <w:sz w:val="21"/>
          <w:szCs w:val="21"/>
        </w:rPr>
        <w:t xml:space="preserve">2023年版に既にある図表：表1 抗がん薬と眼の有害事象</w:t>
      </w:r>
    </w:p>
    <w:p>
      <w:pPr>
        <w:pStyle w:val="ListParagraph"/>
        <w:numPr>
          <w:ilvl w:val="0"/>
          <w:numId w:val="2"/>
        </w:numPr>
        <w:spacing w:after="60"/>
      </w:pPr>
      <w:r>
        <w:rPr>
          <w:rFonts w:ascii="Yu Mincho" w:cs="Yu Mincho" w:eastAsia="Yu Mincho" w:hAnsi="Yu Mincho"/>
          <w:sz w:val="21"/>
          <w:szCs w:val="21"/>
        </w:rPr>
        <w:t xml:space="preserve">表：薬剤×感覚器（聴覚・視覚・嗅覚・味覚）の有害事象マトリクス</w:t>
      </w:r>
    </w:p>
    <w:p>
      <w:pPr>
        <w:pStyle w:val="ListParagraph"/>
        <w:numPr>
          <w:ilvl w:val="0"/>
          <w:numId w:val="2"/>
        </w:numPr>
        <w:spacing w:after="60"/>
      </w:pPr>
      <w:r>
        <w:rPr>
          <w:rFonts w:ascii="Yu Mincho" w:cs="Yu Mincho" w:eastAsia="Yu Mincho" w:hAnsi="Yu Mincho"/>
          <w:sz w:val="21"/>
          <w:szCs w:val="21"/>
        </w:rPr>
        <w:t xml:space="preserve">図：シスプラチン聴覚障害の聴力検査タイミング（投与前・各サイクル・終了後）のタイムライン</w:t>
      </w:r>
    </w:p>
    <w:p>
      <w:pPr>
        <w:pStyle w:val="ListParagraph"/>
        <w:numPr>
          <w:ilvl w:val="0"/>
          <w:numId w:val="2"/>
        </w:numPr>
        <w:spacing w:after="60"/>
      </w:pPr>
      <w:r>
        <w:rPr>
          <w:rFonts w:ascii="Yu Mincho" w:cs="Yu Mincho" w:eastAsia="Yu Mincho" w:hAnsi="Yu Mincho"/>
          <w:sz w:val="21"/>
          <w:szCs w:val="21"/>
        </w:rPr>
        <w:t xml:space="preserve">図：聴力図の典型例（高音域からの低下）</w:t>
      </w:r>
    </w:p>
    <w:p>
      <w:pPr>
        <w:pStyle w:val="ListParagraph"/>
        <w:numPr>
          <w:ilvl w:val="0"/>
          <w:numId w:val="2"/>
        </w:numPr>
        <w:spacing w:after="60"/>
      </w:pPr>
      <w:r>
        <w:rPr>
          <w:rFonts w:ascii="Yu Mincho" w:cs="Yu Mincho" w:eastAsia="Yu Mincho" w:hAnsi="Yu Mincho"/>
          <w:sz w:val="21"/>
          <w:szCs w:val="21"/>
        </w:rPr>
        <w:t xml:space="preserve">表：眼科的有害事象の初期症状と受診の目安（患者説明用）</w:t>
      </w:r>
    </w:p>
    <w:p>
      <w:pPr>
        <w:pStyle w:val="Heading1"/>
        <w:spacing w:after="120" w:before="240"/>
      </w:pPr>
      <w:r>
        <w:rPr>
          <w:rFonts w:ascii="Yu Gothic" w:cs="Yu Gothic" w:eastAsia="Yu Gothic" w:hAnsi="Yu Gothic"/>
          <w:b/>
          <w:bCs/>
        </w:rPr>
        <w:t xml:space="preserve">3. 2023年版 原文</w:t>
      </w:r>
    </w:p>
    <w:p>
      <w:pPr>
        <w:pStyle w:val="Heading3"/>
        <w:spacing w:after="120" w:before="240"/>
      </w:pPr>
      <w:r>
        <w:rPr>
          <w:rFonts w:ascii="Yu Gothic" w:cs="Yu Gothic" w:eastAsia="Yu Gothic" w:hAnsi="Yu Gothic"/>
          <w:b/>
          <w:bCs/>
        </w:rPr>
        <w:t xml:space="preserve">2．感覚器障害</w:t>
      </w:r>
    </w:p>
    <w:p>
      <w:pPr>
        <w:spacing w:after="120"/>
        <w:ind w:firstLine="210"/>
      </w:pPr>
      <w:r>
        <w:rPr>
          <w:rFonts w:ascii="Yu Mincho" w:cs="Yu Mincho" w:eastAsia="Yu Mincho" w:hAnsi="Yu Mincho"/>
          <w:sz w:val="21"/>
          <w:szCs w:val="21"/>
        </w:rPr>
        <w:t xml:space="preserve">（聴覚，視覚，嗅覚など）「がん薬物療法に伴う末梢神経障害マネジメントの手引き 2017 年版」において感覚器障害を取り扱わなかったが，本書では総論として記載することとした。代表的な感覚器障害として，聴覚障害，視覚障害，嗅覚障害について列挙する。</w:t>
      </w:r>
    </w:p>
    <w:p>
      <w:pPr>
        <w:pStyle w:val="Heading3"/>
        <w:spacing w:after="120" w:before="240"/>
      </w:pPr>
      <w:r>
        <w:rPr>
          <w:rFonts w:ascii="Yu Gothic" w:cs="Yu Gothic" w:eastAsia="Yu Gothic" w:hAnsi="Yu Gothic"/>
          <w:b/>
          <w:bCs/>
        </w:rPr>
        <w:t xml:space="preserve">1）がん薬物療法による聴覚障害</w:t>
      </w:r>
    </w:p>
    <w:p>
      <w:pPr>
        <w:spacing w:after="120"/>
        <w:ind w:firstLine="210"/>
      </w:pPr>
      <w:r>
        <w:rPr>
          <w:rFonts w:ascii="Yu Mincho" w:cs="Yu Mincho" w:eastAsia="Yu Mincho" w:hAnsi="Yu Mincho"/>
          <w:sz w:val="21"/>
          <w:szCs w:val="21"/>
        </w:rPr>
        <w:t xml:space="preserve">化学療法により聴覚障害をきたす薬剤として白金製剤が挙げられるが，特にシスプラチンとの関係が強い。聴覚障害は蝸牛の感覚神経細胞の障害によって引き起こされ，基底部から始まる蝸牛の外有毛細胞に不可逆的な損傷を引き起こすことが知られている1）。用量依存性の高周波感音難聴を特徴とし，通常，両側性で不可逆的であり，20～75％の患者にみられる2）。</w:t>
      </w:r>
    </w:p>
    <w:p>
      <w:pPr>
        <w:spacing w:after="120"/>
        <w:ind w:firstLine="210"/>
      </w:pPr>
      <w:r>
        <w:rPr>
          <w:rFonts w:ascii="Yu Mincho" w:cs="Yu Mincho" w:eastAsia="Yu Mincho" w:hAnsi="Yu Mincho"/>
          <w:sz w:val="21"/>
          <w:szCs w:val="21"/>
        </w:rPr>
        <w:t xml:space="preserve">シスプラチンによる細胞障害は，フリーラジカルの産生や過酸化脂質の産生が関与していると考えられており，外有毛細胞以外にも内有毛細胞，らせん神経節細胞，血管条における障害も報告されている。特に音声知覚に重要な高周波数の難聴から始まり，最終的には低周波数に影響を及ぼす可能性がある。長期生存者の約 40％が治療後中央値で 4～10 年後に耳鳴りを報告している3）</w:t>
      </w:r>
      <w:r>
        <w:rPr>
          <w:rFonts w:ascii="Yu Mincho" w:cs="Yu Mincho" w:eastAsia="Yu Mincho" w:hAnsi="Yu Mincho"/>
          <w:sz w:val="21"/>
          <w:szCs w:val="21"/>
          <w:vertAlign w:val="superscript"/>
        </w:rPr>
        <w:t xml:space="preserve">4)</w:t>
      </w:r>
      <w:r>
        <w:rPr>
          <w:rFonts w:ascii="Yu Mincho" w:cs="Yu Mincho" w:eastAsia="Yu Mincho" w:hAnsi="Yu Mincho"/>
          <w:sz w:val="21"/>
          <w:szCs w:val="21"/>
        </w:rPr>
        <w:t xml:space="preserve">。カルボプラチンでは約 5％，ビンカアルカロイド系製剤では耳毒性の可能性ははるかに低く，オキサリプラチンが耳毒性を引き起こすことはほとんどない。</w:t>
      </w:r>
    </w:p>
    <w:p>
      <w:pPr>
        <w:spacing w:after="120"/>
        <w:ind w:firstLine="210"/>
      </w:pPr>
      <w:r>
        <w:rPr>
          <w:rFonts w:ascii="Yu Mincho" w:cs="Yu Mincho" w:eastAsia="Yu Mincho" w:hAnsi="Yu Mincho"/>
          <w:sz w:val="21"/>
          <w:szCs w:val="21"/>
        </w:rPr>
        <w:t xml:space="preserve">主な症状は難聴と耳鳴りであるが，会話音域の聴力閾値上昇を伴わない場合は，障害があっても自覚症状に乏しいことが推定される。また，シスプラチン投与により高音部の閾値上昇が生じやすいものの，高齢者においては加齢性変化として起きるため，鑑別が難しい場合がある。小児においては自覚症状を表現するのが困難であるなど，聴覚の障害を適切に評価できておらず，潜在的に生じている可能性がある。</w:t>
      </w:r>
    </w:p>
    <w:p>
      <w:pPr>
        <w:spacing w:after="120"/>
        <w:ind w:firstLine="210"/>
      </w:pPr>
      <w:r>
        <w:rPr>
          <w:rFonts w:ascii="Yu Mincho" w:cs="Yu Mincho" w:eastAsia="Yu Mincho" w:hAnsi="Yu Mincho"/>
          <w:sz w:val="21"/>
          <w:szCs w:val="21"/>
        </w:rPr>
        <w:t xml:space="preserve">シスプラチンの累積投与量の増加がリスク因子となる。また，10 mg／m2を 5 日間投与する方法と，50 mg／m2を 1 日間投与する方法では，20 dB 以上の閾値上昇を認める割合がそれぞれ 21％，34％となり，1 回投与量が多いほうが聴覚障害につながると考えられている5）。投与開始年齢については，より若年でのシスプラチン投与が行われているほど重症化しやすく，重症例での平均年齢が低いことが報告されている6）。そのほかにも，聴覚障害が重症であるほど，投与開始年齢が低年齢である報告が散見されており，蝸牛ならびにその血管系が未熟であるために，化学療法の影響を受けやすいと考えられている。そのほかの聴覚障害の原因となる薬剤の併用（アミノグリコシド系薬剤，ループ利尿薬など）や，蝸牛や第Ⅷ脳神経への放射線照射などもリスク因子となり得る。</w:t>
      </w:r>
    </w:p>
    <w:p>
      <w:pPr>
        <w:spacing w:after="120"/>
        <w:ind w:firstLine="210"/>
      </w:pPr>
      <w:r>
        <w:rPr>
          <w:rFonts w:ascii="Yu Mincho" w:cs="Yu Mincho" w:eastAsia="Yu Mincho" w:hAnsi="Yu Mincho"/>
          <w:sz w:val="21"/>
          <w:szCs w:val="21"/>
        </w:rPr>
        <w:t xml:space="preserve">遺伝学的な背景も影響を与え，シスプラチン代謝に関与する酵素〔グルタチオン S—トランスフェラーゼ（GST），チオプリン S—メチルトランスフェラーゼ（TPMT），カテコール O—メ総論章チルトランスフェラーゼ（COMT）〕の遺伝的多型や，ERCC1／ERCC2，ACYP2，SLC16A5，WFS1 などとの関連も示唆されている7）。また，腎機能障害出現例において聴覚障害が起きやすいことも報告されており，小児における片腎例での聴覚検査での閾値上昇が報告されている。</w:t>
      </w:r>
    </w:p>
    <w:p>
      <w:pPr>
        <w:spacing w:after="120"/>
        <w:ind w:firstLine="210"/>
      </w:pPr>
      <w:r>
        <w:rPr>
          <w:rFonts w:ascii="Yu Mincho" w:cs="Yu Mincho" w:eastAsia="Yu Mincho" w:hAnsi="Yu Mincho"/>
          <w:sz w:val="21"/>
          <w:szCs w:val="21"/>
        </w:rPr>
        <w:t xml:space="preserve">動物実験では難聴発症の予防に対する研究が多数存在し，D—メチオニン，アミノグアニジン，N—アセチルシステインなどの抗酸化物質が有用であると考えられている。これらの投与がシスプラチン投与により生じる内耳毒性の軽減（ABR 閾値上昇の予防）につながっており，抗酸化物質がフリーラジカルの産生を抑えているものと考えられる。ヒトでの検討において，チオ硫酸ナトリウム（STS）がシスプラチン大量投与の際の，副作用軽減に有用である報告があるものの，現時点では臨床現場で予防法や治療法は確立しておらず，シスプラチン投与を受ける患者には事前の説明が重要である。</w:t>
      </w:r>
    </w:p>
    <w:p>
      <w:pPr>
        <w:pStyle w:val="Heading3"/>
        <w:spacing w:after="120" w:before="240"/>
      </w:pPr>
      <w:r>
        <w:rPr>
          <w:rFonts w:ascii="Yu Gothic" w:cs="Yu Gothic" w:eastAsia="Yu Gothic" w:hAnsi="Yu Gothic"/>
          <w:b/>
          <w:bCs/>
        </w:rPr>
        <w:t xml:space="preserve">2）がん薬物療法による視覚障害</w:t>
      </w:r>
    </w:p>
    <w:p>
      <w:pPr>
        <w:spacing w:after="120"/>
        <w:ind w:firstLine="210"/>
      </w:pPr>
      <w:r>
        <w:rPr>
          <w:rFonts w:ascii="Yu Mincho" w:cs="Yu Mincho" w:eastAsia="Yu Mincho" w:hAnsi="Yu Mincho"/>
          <w:sz w:val="21"/>
          <w:szCs w:val="21"/>
        </w:rPr>
        <w:t xml:space="preserve">テガフール・ギメラシル・オテラシルカリウムやタキサン系製剤などの涙道障害による流涙，シタラビンの結膜炎，タモキシフェンの視力低下（網膜の血管障害など），タキサン系製剤の視力低下（黄斑浮腫など）のように，殺細胞性抗がん薬にはさまざまな眼の有害事象が報告されている。また，分子標的薬でも ALK 阻害薬であるクリゾチニブによる視力低下や，免疫チェックポイント阻害薬のニボルマブによるぶどう膜炎の報告がある（表 1）。</w:t>
      </w:r>
    </w:p>
    <w:p>
      <w:pPr>
        <w:spacing w:after="120"/>
      </w:pPr>
      <w:r>
        <w:rPr>
          <w:rFonts w:ascii="Yu Mincho" w:cs="Yu Mincho" w:eastAsia="Yu Mincho" w:hAnsi="Yu Mincho"/>
          <w:i/>
          <w:iCs/>
          <w:color w:val="444444"/>
          <w:sz w:val="21"/>
          <w:szCs w:val="21"/>
        </w:rPr>
        <w:t xml:space="preserve">［表 1．抗がん薬と眼の有害事象一般名 眼に関する有害事象殺細胞性抗がん薬カペシタ…］ 表・図の本文は末尾のページ画像を参照（テキストは参考）</w:t>
      </w:r>
    </w:p>
    <w:p>
      <w:pPr>
        <w:spacing w:after="120"/>
        <w:ind w:firstLine="210"/>
      </w:pPr>
      <w:r>
        <w:rPr>
          <w:rFonts w:ascii="Yu Mincho" w:cs="Yu Mincho" w:eastAsia="Yu Mincho" w:hAnsi="Yu Mincho"/>
          <w:sz w:val="21"/>
          <w:szCs w:val="21"/>
        </w:rPr>
        <w:t xml:space="preserve">両側の頭頂葉—後頭葉において障害を受けやすく，リスク因子としては，高血圧症，腎障害，自己免疫疾患，高用量抗悪性腫瘍療法，同種幹細胞移植，固形臓器移植，免疫抑制薬（例：シクロスポリン）などがある。治療としては厳格な血圧管理が重要であり，抗がん薬治療の中止と，発作が起きた場合の抗てんかん治療など適切な支持療法が重要である8）。</w:t>
      </w:r>
    </w:p>
    <w:p>
      <w:pPr>
        <w:spacing w:after="120"/>
        <w:ind w:firstLine="210"/>
      </w:pPr>
      <w:r>
        <w:rPr>
          <w:rFonts w:ascii="Yu Mincho" w:cs="Yu Mincho" w:eastAsia="Yu Mincho" w:hAnsi="Yu Mincho"/>
          <w:sz w:val="21"/>
          <w:szCs w:val="21"/>
        </w:rPr>
        <w:t xml:space="preserve">一般名 眼に関する有害事象トラスツズマブデルクステカン（抗 HER2 抗体結合薬）ドライアイトラメチニブ（MEK 阻害薬）かすみ目，ぶどう膜炎，網膜静脈閉塞，網膜剝離など漿液性網膜剝離含むネシツムマブ（抗 EGFR 抗体）結膜炎パルボシクリブ（CDK4/6 阻害薬）流涙増加，かすみ目，眼乾燥ビニメチニブ（MEK 阻害薬）網膜障害，ぶどう膜炎，かすみ目など漿液性網膜剝離含むフォロデシン（PNP 阻害薬）眼精疲労，結膜炎などブリナツモマブ（CD3＋CD19 二重特異性抗体）眼瞼浮腫，結膜出血，緑内障，眼痛，光視症，羞明，視力障害などペミガチニブ（FGFR 阻害薬）眼乾燥，睫毛乱生，角膜炎，結膜炎，視野欠損，光視症，視力低下など漿液性網膜剝離含むベムラフェニブ（BRAF 阻害薬）ぶどう膜炎，流涙増加，眼乾燥，結膜炎，網膜静脈閉塞などポナチニブ（Bcr‒Abl チロシンキナーゼ阻害薬）角膜びらん，眼乾燥，かすみ目，眼痛，結膜炎，視力低下など網膜動脈閉塞症，網膜静脈血栓症ロルラチニブ（ALK チロシンキナーゼ阻害薬）視覚障害ホルモン療法薬エンザルタミド 流涙増加タモキシフェン 視力低下，角膜の変化，白内障，網膜症などトレミフェン 視覚障害</w:t>
      </w:r>
    </w:p>
    <w:p>
      <w:pPr>
        <w:pStyle w:val="Heading3"/>
        <w:spacing w:after="120" w:before="240"/>
      </w:pPr>
      <w:r>
        <w:rPr>
          <w:rFonts w:ascii="Yu Gothic" w:cs="Yu Gothic" w:eastAsia="Yu Gothic" w:hAnsi="Yu Gothic"/>
          <w:b/>
          <w:bCs/>
        </w:rPr>
        <w:t xml:space="preserve">3）がん薬物療法による嗅覚障害</w:t>
      </w:r>
    </w:p>
    <w:p>
      <w:pPr>
        <w:spacing w:after="120"/>
        <w:ind w:firstLine="210"/>
      </w:pPr>
      <w:r>
        <w:rPr>
          <w:rFonts w:ascii="Yu Mincho" w:cs="Yu Mincho" w:eastAsia="Yu Mincho" w:hAnsi="Yu Mincho"/>
          <w:sz w:val="21"/>
          <w:szCs w:val="21"/>
        </w:rPr>
        <w:t xml:space="preserve">気導性嗅覚障害は，副鼻腔の物理的な障害により，におい分子が嗅上皮に到達できずに生じる。嗅覚障害を主訴とする患者の中で最も頻度が高いのは，慢性副鼻腔炎による気導性嗅覚障害である。神経性嗅覚障害は，嗅上皮や嗅神経自体の障害により生じ，感冒や外傷が原因疾患となる。中枢性嗅覚障害は，嗅球から嗅索，大脳前頭葉に至る頭蓋内の障害による嗅覚障害で，神経変性疾患（外傷性・脳腫瘍・認知症など）が原因疾患となる。薬剤性嗅覚障害としては，神経性嗅覚障害および中枢性嗅覚障害が指摘されている9）。</w:t>
      </w:r>
    </w:p>
    <w:p>
      <w:pPr>
        <w:spacing w:after="120"/>
        <w:ind w:firstLine="210"/>
      </w:pPr>
      <w:r>
        <w:rPr>
          <w:rFonts w:ascii="Yu Mincho" w:cs="Yu Mincho" w:eastAsia="Yu Mincho" w:hAnsi="Yu Mincho"/>
          <w:sz w:val="21"/>
          <w:szCs w:val="21"/>
        </w:rPr>
        <w:t xml:space="preserve">薬剤性嗅覚障害の原因として化学療法が報告されており，特にテガフール・ウラシルとの因果関係がよく知られているが，化学療法以外にも原因となり得る薬剤はβ阻害薬，Ca 阻害薬，ACE 阻害薬などの高血圧薬，脂質異常薬，抗菌薬など多岐にわたる。しかしながら，薬剤性の嗅覚障害の機序は嗅上皮の変性に由来し，CIPN のような化学療法由来の神経障害ではないと考えられている。一方で，神経障害の原因としては外傷，脳腫瘍，脳出血などの気質的な変化やパーキンソン病やアルツハイマー型認知症などの神経変性疾患との因果関係が指摘されている10）。</w:t>
      </w:r>
    </w:p>
    <w:p>
      <w:pPr>
        <w:spacing w:after="120"/>
        <w:ind w:firstLine="210"/>
      </w:pPr>
      <w:r>
        <w:rPr>
          <w:rFonts w:ascii="Yu Mincho" w:cs="Yu Mincho" w:eastAsia="Yu Mincho" w:hAnsi="Yu Mincho"/>
          <w:sz w:val="21"/>
          <w:szCs w:val="21"/>
        </w:rPr>
        <w:t xml:space="preserve">神経性嗅覚障害では現時点でエビデンスをもって治療効果が認められている薬物療法はないが，帰芍薬散などの漢方薬や亜鉛製剤，ビタミン剤等が経験的に使用されている。</w:t>
      </w:r>
    </w:p>
    <w:p>
      <w:pPr>
        <w:spacing w:after="120"/>
        <w:ind w:firstLine="210"/>
      </w:pPr>
      <w:r>
        <w:rPr>
          <w:rFonts w:ascii="Yu Mincho" w:cs="Yu Mincho" w:eastAsia="Yu Mincho" w:hAnsi="Yu Mincho"/>
          <w:sz w:val="21"/>
          <w:szCs w:val="21"/>
        </w:rPr>
        <w:t xml:space="preserve">（古川 孝広）</w:t>
      </w:r>
    </w:p>
    <w:p>
      <w:pPr>
        <w:pStyle w:val="Heading2"/>
        <w:spacing w:after="120" w:before="240"/>
      </w:pPr>
      <w:r>
        <w:rPr>
          <w:rFonts w:ascii="Yu Gothic" w:cs="Yu Gothic" w:eastAsia="Yu Gothic" w:hAnsi="Yu Gothic"/>
          <w:b/>
          <w:bCs/>
        </w:rPr>
        <w:t xml:space="preserve">文献（2023年版）</w:t>
      </w:r>
    </w:p>
    <w:p>
      <w:pPr>
        <w:spacing w:after="120"/>
        <w:ind w:firstLine="210"/>
      </w:pPr>
      <w:r>
        <w:rPr>
          <w:rFonts w:ascii="Yu Mincho" w:cs="Yu Mincho" w:eastAsia="Yu Mincho" w:hAnsi="Yu Mincho"/>
          <w:sz w:val="21"/>
          <w:szCs w:val="21"/>
        </w:rPr>
        <w:t xml:space="preserve">1）Schacht J, Talaska AE, Rybak LP. Cisplatin and aminoglycoside antibiotics： hearing loss and its preven-tion. Anat Rec（Hoboken）. 2012； 295： 1837—50.［PMID： 23045231］</w:t>
      </w:r>
    </w:p>
    <w:p>
      <w:pPr>
        <w:spacing w:after="120"/>
        <w:ind w:firstLine="210"/>
      </w:pPr>
      <w:r>
        <w:rPr>
          <w:rFonts w:ascii="Yu Mincho" w:cs="Yu Mincho" w:eastAsia="Yu Mincho" w:hAnsi="Yu Mincho"/>
          <w:sz w:val="21"/>
          <w:szCs w:val="21"/>
        </w:rPr>
        <w:t xml:space="preserve">2）Chovanec M, Abu Zaid M, Hanna N, et al. Long—term toxicity of cisplatin in germ—cell tumor survivors.Ann Oncol. 2017； 28： 2670—9.［PMID： 29045502］</w:t>
      </w:r>
    </w:p>
    <w:p>
      <w:pPr>
        <w:spacing w:after="120"/>
        <w:ind w:firstLine="210"/>
      </w:pPr>
      <w:r>
        <w:rPr>
          <w:rFonts w:ascii="Yu Mincho" w:cs="Yu Mincho" w:eastAsia="Yu Mincho" w:hAnsi="Yu Mincho"/>
          <w:sz w:val="21"/>
          <w:szCs w:val="21"/>
        </w:rPr>
        <w:t xml:space="preserve">3）Frisina RD, Wheeler HE, Fossa SD, et al. Comprehensive Audiometric Analysis of Hearing Impairment and Tinnitus After Cisplatin—Based Chemotherapy in Survivors of Adult—Onset Cancer. J Clin Oncol.2016； 34： 2712—20.［PMID： 27354478］</w:t>
      </w:r>
    </w:p>
    <w:p>
      <w:pPr>
        <w:spacing w:after="120"/>
        <w:ind w:firstLine="210"/>
      </w:pPr>
      <w:r>
        <w:rPr>
          <w:rFonts w:ascii="Yu Mincho" w:cs="Yu Mincho" w:eastAsia="Yu Mincho" w:hAnsi="Yu Mincho"/>
          <w:sz w:val="21"/>
          <w:szCs w:val="21"/>
        </w:rPr>
        <w:t xml:space="preserve">4）Haugnes HS, Stenklev NC, Brydøy M, et al. Hearing loss before and after cisplatin—based chemotherapy in testicular cancer survivors： a longitudinal study. Acta Oncol. 2018； 57： 1075—83.［PMID： 29384420］</w:t>
      </w:r>
    </w:p>
    <w:p>
      <w:pPr>
        <w:spacing w:after="120"/>
        <w:ind w:firstLine="210"/>
      </w:pPr>
      <w:r>
        <w:rPr>
          <w:rFonts w:ascii="Yu Mincho" w:cs="Yu Mincho" w:eastAsia="Yu Mincho" w:hAnsi="Yu Mincho"/>
          <w:sz w:val="21"/>
          <w:szCs w:val="21"/>
        </w:rPr>
        <w:t xml:space="preserve">5）斎藤 等，斎藤 章，日向 誠．シスプラチンの聴力障害．耳鼻臨床．1984； 77： 1387—93．</w:t>
      </w:r>
    </w:p>
    <w:p>
      <w:pPr>
        <w:spacing w:after="120"/>
        <w:ind w:firstLine="210"/>
      </w:pPr>
      <w:r>
        <w:rPr>
          <w:rFonts w:ascii="Yu Mincho" w:cs="Yu Mincho" w:eastAsia="Yu Mincho" w:hAnsi="Yu Mincho"/>
          <w:sz w:val="21"/>
          <w:szCs w:val="21"/>
        </w:rPr>
        <w:t xml:space="preserve">6）Chang KW, Chinosornvatana N. Practical grading system for evaluating cisplatin ototoxicity in children.J Clin Oncol. 2010； 28： 1788—95.［PMID： 20194861］</w:t>
      </w:r>
    </w:p>
    <w:p>
      <w:pPr>
        <w:spacing w:after="120"/>
        <w:ind w:firstLine="210"/>
      </w:pPr>
      <w:r>
        <w:rPr>
          <w:rFonts w:ascii="Yu Mincho" w:cs="Yu Mincho" w:eastAsia="Yu Mincho" w:hAnsi="Yu Mincho"/>
          <w:sz w:val="21"/>
          <w:szCs w:val="21"/>
        </w:rPr>
        <w:t xml:space="preserve">7）Choeyprasert W, Sawangpanich R, Lertsukprasert K, et al. Cisplatin—induced ototoxicity in pediatric solid tumors： the role of glutathione S—transferases and megalin genetic polymorphisms. J Pediatr Hematol Oncol. 2013； 35： e138—43.［PMID： 23274376］</w:t>
      </w:r>
    </w:p>
    <w:p>
      <w:pPr>
        <w:spacing w:after="120"/>
        <w:ind w:firstLine="210"/>
      </w:pPr>
      <w:r>
        <w:rPr>
          <w:rFonts w:ascii="Yu Mincho" w:cs="Yu Mincho" w:eastAsia="Yu Mincho" w:hAnsi="Yu Mincho"/>
          <w:sz w:val="21"/>
          <w:szCs w:val="21"/>
        </w:rPr>
        <w:t xml:space="preserve">8）Jordan B, Margulies A, Cardoso F, et al； ESMO Guidelines Committee. EONS Education Working Group. EANO Guideline Committee. Systemic anticancer therapy—induced peripheral and central neu-rotoxicity： ESMO—EONS—EANO Clinical Practice Guidelines for diagnosis, prevention, treatment and follow—up. Ann Oncol. 2020； 31： 1306—19.［PMID： 32739407］</w:t>
      </w:r>
    </w:p>
    <w:p>
      <w:pPr>
        <w:spacing w:after="120"/>
        <w:ind w:firstLine="210"/>
      </w:pPr>
      <w:r>
        <w:rPr>
          <w:rFonts w:ascii="Yu Mincho" w:cs="Yu Mincho" w:eastAsia="Yu Mincho" w:hAnsi="Yu Mincho"/>
          <w:sz w:val="21"/>
          <w:szCs w:val="21"/>
        </w:rPr>
        <w:t xml:space="preserve">9）森 恵莉．嗅覚の基礎と臨床．日耳鼻会報．2020； 123： 557—62．</w:t>
      </w:r>
    </w:p>
    <w:p>
      <w:pPr>
        <w:spacing w:after="120"/>
        <w:ind w:firstLine="210"/>
      </w:pPr>
      <w:r>
        <w:rPr>
          <w:rFonts w:ascii="Yu Mincho" w:cs="Yu Mincho" w:eastAsia="Yu Mincho" w:hAnsi="Yu Mincho"/>
          <w:sz w:val="21"/>
          <w:szCs w:val="21"/>
        </w:rPr>
        <w:t xml:space="preserve">10）篠 美紀，滝口修平，櫛櫛櫛櫛櫛櫛櫛櫛櫛櫛櫛櫛櫛櫛櫛櫛櫛櫛櫛櫛櫛櫛櫛櫛櫛櫛櫛櫛櫛櫛櫛櫛櫛櫛櫛櫛櫛櫛櫛櫛櫛櫛櫛櫛総論章</w:t>
      </w:r>
    </w:p>
    <w:p>
      <w:r>
        <w:br w:type="page"/>
      </w:r>
    </w:p>
    <w:p>
      <w:pPr>
        <w:pStyle w:val="Heading1"/>
        <w:spacing w:after="120" w:before="240"/>
      </w:pPr>
      <w:r>
        <w:rPr>
          <w:rFonts w:ascii="Yu Gothic" w:cs="Yu Gothic" w:eastAsia="Yu Gothic" w:hAnsi="Yu Gothic"/>
          <w:b/>
          <w:bCs/>
        </w:rPr>
        <w:t xml:space="preserve">4. 2023年版の図表（ページ画像・参照用）</w:t>
      </w:r>
    </w:p>
    <w:p>
      <w:pPr>
        <w:spacing w:after="120"/>
      </w:pPr>
      <w:r>
        <w:rPr>
          <w:rFonts w:ascii="Yu Mincho" w:cs="Yu Mincho" w:eastAsia="Yu Mincho" w:hAnsi="Yu Mincho"/>
          <w:sz w:val="21"/>
          <w:szCs w:val="21"/>
        </w:rPr>
        <w:t xml:space="preserve">2023年版 p.34</w:t>
      </w:r>
    </w:p>
    <w:p>
      <w:pPr>
        <w:jc w:val="center"/>
      </w:pPr>
      <w:r>
        <w:drawing>
          <wp:inline distT="0" distB="0" distL="0" distR="0">
            <wp:extent cx="4953000" cy="69913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6991350"/>
                    </a:xfrm>
                    <a:prstGeom prst="rect">
                      <a:avLst/>
                    </a:prstGeom>
                  </pic:spPr>
                </pic:pic>
              </a:graphicData>
            </a:graphic>
          </wp:inline>
        </w:drawing>
      </w:r>
    </w:p>
    <w:sectPr>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934126676542d4544d6e7a821d44a3e7fc4c07e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2026-09-29T14:51:02.129Z</dcterms:created>
  <dcterms:modified xsi:type="dcterms:W3CDTF">2026-09-29T14:51:02.129Z</dcterms:modified>
</cp:coreProperties>
</file>

<file path=docProps/custom.xml><?xml version="1.0" encoding="utf-8"?>
<Properties xmlns="http://schemas.openxmlformats.org/officeDocument/2006/custom-properties" xmlns:vt="http://schemas.openxmlformats.org/officeDocument/2006/docPropsVTypes"/>
</file>