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J-1. CIPNにおける被疑薬の減量あるいは中止について</w:t>
      </w:r>
    </w:p>
    <w:p>
      <w:pPr>
        <w:spacing w:after="120"/>
      </w:pPr>
      <w:r>
        <w:rPr>
          <w:rFonts w:ascii="Yu Mincho" w:cs="Yu Mincho" w:eastAsia="Yu Mincho" w:hAnsi="Yu Mincho"/>
          <w:sz w:val="21"/>
          <w:szCs w:val="21"/>
        </w:rPr>
        <w:t xml:space="preserve">担当：吉田　／　2023年版 第2章 pp.38–41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図：Grade別の減量・休薬・中止のアルゴリズム（薬剤クラス別に分岐）</w:t>
      </w:r>
    </w:p>
    <w:p>
      <w:pPr>
        <w:pStyle w:val="ListParagraph"/>
        <w:numPr>
          <w:ilvl w:val="0"/>
          <w:numId w:val="2"/>
        </w:numPr>
        <w:spacing w:after="60"/>
      </w:pPr>
      <w:r>
        <w:rPr>
          <w:rFonts w:ascii="Yu Mincho" w:cs="Yu Mincho" w:eastAsia="Yu Mincho" w:hAnsi="Yu Mincho"/>
          <w:sz w:val="21"/>
          <w:szCs w:val="21"/>
        </w:rPr>
        <w:t xml:space="preserve">表：主要レジメン・薬剤の添付文書上の減量基準一覧（オキサリプラチン・パクリタキセル・ビンクリスチン・ボルテゾミブ等）</w:t>
      </w:r>
    </w:p>
    <w:p>
      <w:pPr>
        <w:pStyle w:val="ListParagraph"/>
        <w:numPr>
          <w:ilvl w:val="0"/>
          <w:numId w:val="2"/>
        </w:numPr>
        <w:spacing w:after="60"/>
      </w:pPr>
      <w:r>
        <w:rPr>
          <w:rFonts w:ascii="Yu Mincho" w:cs="Yu Mincho" w:eastAsia="Yu Mincho" w:hAnsi="Yu Mincho"/>
          <w:sz w:val="21"/>
          <w:szCs w:val="21"/>
        </w:rPr>
        <w:t xml:space="preserve">図：stop‑and‑go戦略（OPTIMOX等）の概念図</w:t>
      </w:r>
    </w:p>
    <w:p>
      <w:pPr>
        <w:pStyle w:val="ListParagraph"/>
        <w:numPr>
          <w:ilvl w:val="0"/>
          <w:numId w:val="2"/>
        </w:numPr>
        <w:spacing w:after="60"/>
      </w:pPr>
      <w:r>
        <w:rPr>
          <w:rFonts w:ascii="Yu Mincho" w:cs="Yu Mincho" w:eastAsia="Yu Mincho" w:hAnsi="Yu Mincho"/>
          <w:sz w:val="21"/>
          <w:szCs w:val="21"/>
        </w:rPr>
        <w:t xml:space="preserve">表：減量・中止の判断に用いる患者要因（治癒目的か緩和目的か、ADL、患者の希望）</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J 臨床における諸問題</w:t>
      </w:r>
    </w:p>
    <w:p>
      <w:pPr>
        <w:pStyle w:val="Heading3"/>
        <w:spacing w:after="120" w:before="240"/>
      </w:pPr>
      <w:r>
        <w:rPr>
          <w:rFonts w:ascii="Yu Gothic" w:cs="Yu Gothic" w:eastAsia="Yu Gothic" w:hAnsi="Yu Gothic"/>
          <w:b/>
          <w:bCs/>
        </w:rPr>
        <w:t xml:space="preserve">1．CIPN における被疑薬の減量あるいは中止について</w:t>
      </w:r>
    </w:p>
    <w:p>
      <w:pPr>
        <w:spacing w:after="120"/>
        <w:ind w:firstLine="210"/>
      </w:pPr>
      <w:r>
        <w:rPr>
          <w:rFonts w:ascii="Yu Mincho" w:cs="Yu Mincho" w:eastAsia="Yu Mincho" w:hAnsi="Yu Mincho"/>
          <w:sz w:val="21"/>
          <w:szCs w:val="21"/>
        </w:rPr>
        <w:t xml:space="preserve">用語の定義Delay（延期）：CIPN の症状が停滞または改善することを期待して，化学療法の投与を一時的に控えること。数日から数週間の間に症状がどのように変化するかを評価することができる。</w:t>
      </w:r>
    </w:p>
    <w:p>
      <w:pPr>
        <w:spacing w:after="120"/>
        <w:ind w:firstLine="210"/>
      </w:pPr>
      <w:r>
        <w:rPr>
          <w:rFonts w:ascii="Yu Mincho" w:cs="Yu Mincho" w:eastAsia="Yu Mincho" w:hAnsi="Yu Mincho"/>
          <w:sz w:val="21"/>
          <w:szCs w:val="21"/>
        </w:rPr>
        <w:t xml:space="preserve">Relative dose intensity（RDI）を低下させるが，通常は総投与量を減少させない。</w:t>
      </w:r>
    </w:p>
    <w:p>
      <w:pPr>
        <w:spacing w:after="120"/>
        <w:ind w:firstLine="210"/>
      </w:pPr>
      <w:r>
        <w:rPr>
          <w:rFonts w:ascii="Yu Mincho" w:cs="Yu Mincho" w:eastAsia="Yu Mincho" w:hAnsi="Yu Mincho"/>
          <w:sz w:val="21"/>
          <w:szCs w:val="21"/>
        </w:rPr>
        <w:t xml:space="preserve">Decreasing（減量）：症状を安定させたり，CIPN の進行速度を遅らせたりするために用いられる投与法。一般的に RDI と総投与量の両方を減少させる。</w:t>
      </w:r>
    </w:p>
    <w:p>
      <w:pPr>
        <w:spacing w:after="120"/>
        <w:ind w:firstLine="210"/>
      </w:pPr>
      <w:r>
        <w:rPr>
          <w:rFonts w:ascii="Yu Mincho" w:cs="Yu Mincho" w:eastAsia="Yu Mincho" w:hAnsi="Yu Mincho"/>
          <w:sz w:val="21"/>
          <w:szCs w:val="21"/>
        </w:rPr>
        <w:t xml:space="preserve">Discontinuation（中止）：原病の増悪・再発や重篤な有害事象により，治療の継続が許容できないときに当該治療を中止すること。</w:t>
      </w:r>
    </w:p>
    <w:p>
      <w:pPr>
        <w:spacing w:after="120"/>
        <w:ind w:firstLine="210"/>
      </w:pPr>
      <w:r>
        <w:rPr>
          <w:rFonts w:ascii="Yu Mincho" w:cs="Yu Mincho" w:eastAsia="Yu Mincho" w:hAnsi="Yu Mincho"/>
          <w:sz w:val="21"/>
          <w:szCs w:val="21"/>
        </w:rPr>
        <w:t xml:space="preserve">化学療法施行中に CIPN が増悪した場合，CIPN に対する根本的な治療法がないため，被疑薬（白金製剤，タキサン系製剤，ビンクリスチン，ボルテゾミブなど）の投与の延期，減量あるいは中止が現実的なマネジメント法の一つになっており，ASCO のガイドラインでも推奨されている1）～3）。CIPN の程度が用量依存性であることや OPTIMOX1 試験の結果からも減量や中止が支持される4）～6）。しかし，いつ，どのように変更するかについての一貫した見解はなく，治療法変更のメリットやリスクを理解する必要がある。</w:t>
      </w:r>
    </w:p>
    <w:p>
      <w:pPr>
        <w:spacing w:after="120"/>
        <w:ind w:firstLine="210"/>
      </w:pPr>
      <w:r>
        <w:rPr>
          <w:rFonts w:ascii="Yu Mincho" w:cs="Yu Mincho" w:eastAsia="Yu Mincho" w:hAnsi="Yu Mincho"/>
          <w:sz w:val="21"/>
          <w:szCs w:val="21"/>
        </w:rPr>
        <w:t xml:space="preserve">タキサン系の化学療法に関して，CIPN が原因となる延期・減量・中止の頻度はそれぞれ2～26％（中央値 8％）・2～36％（9％）・4～29％（9％）と報告されている7）～15）。一方，プラチナ製剤は，それぞれ 2～38％（8％）・13～20％（17％）・0～13％（3％）と報告されているが16）～22），記載のない項目や正確に読み取りにくい項目も多く，レジメンのサイクル周期や投与量，投与期間が異なるため一定した見解を得にくい。</w:t>
      </w:r>
    </w:p>
    <w:p>
      <w:pPr>
        <w:spacing w:after="120"/>
        <w:ind w:firstLine="210"/>
      </w:pPr>
      <w:r>
        <w:rPr>
          <w:rFonts w:ascii="Yu Mincho" w:cs="Yu Mincho" w:eastAsia="Yu Mincho" w:hAnsi="Yu Mincho"/>
          <w:sz w:val="21"/>
          <w:szCs w:val="21"/>
        </w:rPr>
        <w:t xml:space="preserve">大腸がん以外では，効果を落とさずに被疑薬のみを中断できたとする報告はない。RDI の低下が，全生存期間23）～29），無増悪生存期間30），無再発生存期間31），奏効率32）を悪化させるという報告が多数ある。したがって，その他の進行固形がん患者において CIPN 症状が強い場合，適切な代替薬が存在するのであれば変更することが望ましいが，代替薬が存在しない場合は被疑薬の減量や中止を考慮することになる。補助化学療法に関しては，プール解析の結果ではあるが投与期間が全生存期間に影響しないデザインも報告されている33）</w:t>
      </w:r>
      <w:r>
        <w:rPr>
          <w:rFonts w:ascii="Yu Mincho" w:cs="Yu Mincho" w:eastAsia="Yu Mincho" w:hAnsi="Yu Mincho"/>
          <w:sz w:val="21"/>
          <w:szCs w:val="21"/>
          <w:vertAlign w:val="superscript"/>
        </w:rPr>
        <w:t xml:space="preserve">34)</w:t>
      </w:r>
      <w:r>
        <w:rPr>
          <w:rFonts w:ascii="Yu Mincho" w:cs="Yu Mincho" w:eastAsia="Yu Mincho" w:hAnsi="Yu Mincho"/>
          <w:sz w:val="21"/>
          <w:szCs w:val="21"/>
        </w:rPr>
        <w:t xml:space="preserve">。これらを踏まえて，被疑薬の延期・減量・中止が抗腫瘍効果にも影響することについてのインフォームドコンセントが必要となる。</w:t>
      </w:r>
    </w:p>
    <w:p>
      <w:pPr>
        <w:spacing w:after="120"/>
        <w:ind w:firstLine="210"/>
      </w:pPr>
      <w:r>
        <w:rPr>
          <w:rFonts w:ascii="Yu Mincho" w:cs="Yu Mincho" w:eastAsia="Yu Mincho" w:hAnsi="Yu Mincho"/>
          <w:sz w:val="21"/>
          <w:szCs w:val="21"/>
        </w:rPr>
        <w:t xml:space="preserve">治療回数が計画されている術後補助療法や治癒目的の血液腫瘍治療では，被疑薬の減量や中止は慎重に検討するべきである。これらは治癒を目指せるため治療を完遂することによりQOL の低下を上回るメリットが得られる可能性がある。被疑薬の中止後は CIPN の症状はゆっくりと回復することが多いが，一部の患者では継続する35）</w:t>
      </w:r>
      <w:r>
        <w:rPr>
          <w:rFonts w:ascii="Yu Mincho" w:cs="Yu Mincho" w:eastAsia="Yu Mincho" w:hAnsi="Yu Mincho"/>
          <w:sz w:val="21"/>
          <w:szCs w:val="21"/>
          <w:vertAlign w:val="superscript"/>
        </w:rPr>
        <w:t xml:space="preserve">36)</w:t>
      </w:r>
      <w:r>
        <w:rPr>
          <w:rFonts w:ascii="Yu Mincho" w:cs="Yu Mincho" w:eastAsia="Yu Mincho" w:hAnsi="Yu Mincho"/>
          <w:sz w:val="21"/>
          <w:szCs w:val="21"/>
        </w:rPr>
        <w:t xml:space="preserve">。</w:t>
      </w:r>
    </w:p>
    <w:p>
      <w:pPr>
        <w:spacing w:after="120"/>
        <w:ind w:firstLine="210"/>
      </w:pPr>
      <w:r>
        <w:rPr>
          <w:rFonts w:ascii="Yu Mincho" w:cs="Yu Mincho" w:eastAsia="Yu Mincho" w:hAnsi="Yu Mincho"/>
          <w:sz w:val="21"/>
          <w:szCs w:val="21"/>
        </w:rPr>
        <w:t xml:space="preserve">化学療法に関する臨床試験では，中等度（Grade 2）の CIPN が発症した際には減量，重度（Grade 3）では投与の延期もしくは中止するように設定されていることが多い。</w:t>
      </w:r>
    </w:p>
    <w:p>
      <w:pPr>
        <w:spacing w:after="120"/>
        <w:ind w:firstLine="210"/>
      </w:pPr>
      <w:r>
        <w:rPr>
          <w:rFonts w:ascii="Yu Mincho" w:cs="Yu Mincho" w:eastAsia="Yu Mincho" w:hAnsi="Yu Mincho"/>
          <w:sz w:val="21"/>
          <w:szCs w:val="21"/>
        </w:rPr>
        <w:t xml:space="preserve">しかし，この設定は予後や治療目的等への影響を考慮してつくられたものではない。実臨床においては，評価法による Grade 分類だけではなく，治療の目的（緩和的なのか根治を目指しているのか）や患者の価値観を傾聴し，何を重視しているか（例えば書道など手を使う趣味を大切にしているのか，あるいは QOL よりも効果を重視しているか）など患者ごとに判断する必要がある。患者が最大に許容できる CIPN を把握し，今後の CIPN の経過を予測したうえで延期・減量・中止などの治療変更を行うことが望ましい37）。</w:t>
      </w:r>
    </w:p>
    <w:p>
      <w:pPr>
        <w:spacing w:after="120"/>
        <w:ind w:firstLine="210"/>
      </w:pPr>
      <w:r>
        <w:rPr>
          <w:rFonts w:ascii="Yu Mincho" w:cs="Yu Mincho" w:eastAsia="Yu Mincho" w:hAnsi="Yu Mincho"/>
          <w:sz w:val="21"/>
          <w:szCs w:val="21"/>
        </w:rPr>
        <w:t xml:space="preserve">（吉田 陽一郎）</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Loprinzi CL, Lacchetti C, Bleeker J, et al. Prevention and Management of Chemotherapy—Induced Peripheral Neuropathy in Survivors of Adult Cancers： ASCO Guideline Update. J Clin Oncol. 2020； 38：3325—48.［PMID： 32663120］</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Hershman DL, Lacchetti C, Dworkin RH, et al； American Society of Clinical Oncology. Prevention and management of chemotherapy—induced peripheral neuropathy in survivors of adult cancers： Ameri-can Society of Clinical Oncology clinical practice guideline. J Clin Oncol. 2014； 32： 1941—67.［PMID：24733808］</w:t>
      </w:r>
      <w:r>
        <w:rPr>
          <w:rFonts w:ascii="Yu Mincho" w:cs="Yu Mincho" w:eastAsia="Yu Mincho" w:hAnsi="Yu Mincho"/>
          <w:sz w:val="21"/>
          <w:szCs w:val="21"/>
          <w:vertAlign w:val="superscript"/>
        </w:rPr>
        <w:t xml:space="preserve">3)</w:t>
      </w:r>
      <w:r>
        <w:rPr>
          <w:rFonts w:ascii="Yu Mincho" w:cs="Yu Mincho" w:eastAsia="Yu Mincho" w:hAnsi="Yu Mincho"/>
          <w:sz w:val="21"/>
          <w:szCs w:val="21"/>
        </w:rPr>
        <w:t xml:space="preserve">Derman BA, Davis AM. Recommendations for Prevention and Management of Chemotherapy—Induced Peripheral Neuropathy. JAMA. 2021； 326： 1058—9.［PMID： 34546311］</w:t>
      </w:r>
      <w:r>
        <w:rPr>
          <w:rFonts w:ascii="Yu Mincho" w:cs="Yu Mincho" w:eastAsia="Yu Mincho" w:hAnsi="Yu Mincho"/>
          <w:sz w:val="21"/>
          <w:szCs w:val="21"/>
          <w:vertAlign w:val="superscript"/>
        </w:rPr>
        <w:t xml:space="preserve">4)</w:t>
      </w:r>
      <w:r>
        <w:rPr>
          <w:rFonts w:ascii="Yu Mincho" w:cs="Yu Mincho" w:eastAsia="Yu Mincho" w:hAnsi="Yu Mincho"/>
          <w:sz w:val="21"/>
          <w:szCs w:val="21"/>
        </w:rPr>
        <w:t xml:space="preserve">Jones SE, Erban J, Overmoyer B, et al. Randomized phase Ⅲ study of docetaxel compared with pacli-taxel in metastatic breast cancer. J Clin Oncol. 2005； 23： 5542—51.［PMID： 16110015］</w:t>
      </w:r>
      <w:r>
        <w:rPr>
          <w:rFonts w:ascii="Yu Mincho" w:cs="Yu Mincho" w:eastAsia="Yu Mincho" w:hAnsi="Yu Mincho"/>
          <w:sz w:val="21"/>
          <w:szCs w:val="21"/>
          <w:vertAlign w:val="superscript"/>
        </w:rPr>
        <w:t xml:space="preserve">5)</w:t>
      </w:r>
      <w:r>
        <w:rPr>
          <w:rFonts w:ascii="Yu Mincho" w:cs="Yu Mincho" w:eastAsia="Yu Mincho" w:hAnsi="Yu Mincho"/>
          <w:sz w:val="21"/>
          <w:szCs w:val="21"/>
        </w:rPr>
        <w:t xml:space="preserve">Alberts DS, Noel JK. Cisplatin—associated neurotoxicity： can it be prevented? Anticancer Drugs. 1995；6： 369—83.［PMID： 7670134］</w:t>
      </w:r>
      <w:r>
        <w:rPr>
          <w:rFonts w:ascii="Yu Mincho" w:cs="Yu Mincho" w:eastAsia="Yu Mincho" w:hAnsi="Yu Mincho"/>
          <w:sz w:val="21"/>
          <w:szCs w:val="21"/>
          <w:vertAlign w:val="superscript"/>
        </w:rPr>
        <w:t xml:space="preserve">6)</w:t>
      </w:r>
      <w:r>
        <w:rPr>
          <w:rFonts w:ascii="Yu Mincho" w:cs="Yu Mincho" w:eastAsia="Yu Mincho" w:hAnsi="Yu Mincho"/>
          <w:sz w:val="21"/>
          <w:szCs w:val="21"/>
        </w:rPr>
        <w:t xml:space="preserve">Tournigand C, Cervantes A, Figer A, et al. OPTIMOX1： a randomized study of FOLFOX4 or FOLFOX7 with oxaliplatin in a stop—and—Go fashion in advanced colorectal cancer——a GERCOR study.J Clin Oncol. 2006； 24： 394—400.［PMID： 16421419］</w:t>
      </w:r>
      <w:r>
        <w:rPr>
          <w:rFonts w:ascii="Yu Mincho" w:cs="Yu Mincho" w:eastAsia="Yu Mincho" w:hAnsi="Yu Mincho"/>
          <w:sz w:val="21"/>
          <w:szCs w:val="21"/>
          <w:vertAlign w:val="superscript"/>
        </w:rPr>
        <w:t xml:space="preserve">7)</w:t>
      </w:r>
      <w:r>
        <w:rPr>
          <w:rFonts w:ascii="Yu Mincho" w:cs="Yu Mincho" w:eastAsia="Yu Mincho" w:hAnsi="Yu Mincho"/>
          <w:sz w:val="21"/>
          <w:szCs w:val="21"/>
        </w:rPr>
        <w:t xml:space="preserve">Bhatnagar B, Gilmore S, Goloubeva O, et al. Chemotherapy dose reduction due to chemotherapy induced peripheral neuropathy in breast cancer patients receiving chemotherapy in the neoadjuvant or adju-vant settings： a single—center experience. Springerplus. 2014； 3： 366.［PMID： 25089251］</w:t>
      </w:r>
      <w:r>
        <w:rPr>
          <w:rFonts w:ascii="Yu Mincho" w:cs="Yu Mincho" w:eastAsia="Yu Mincho" w:hAnsi="Yu Mincho"/>
          <w:sz w:val="21"/>
          <w:szCs w:val="21"/>
          <w:vertAlign w:val="superscript"/>
        </w:rPr>
        <w:t xml:space="preserve">8)</w:t>
      </w:r>
      <w:r>
        <w:rPr>
          <w:rFonts w:ascii="Yu Mincho" w:cs="Yu Mincho" w:eastAsia="Yu Mincho" w:hAnsi="Yu Mincho"/>
          <w:sz w:val="21"/>
          <w:szCs w:val="21"/>
        </w:rPr>
        <w:t xml:space="preserve">Hershman DL, Weimer LH, Wang A, et al. Association between patient reported outcomes and quanti-tative sensory tests for measuring long—term neurotoxicity in breast cancer survivors treated with adjuvant paclitaxel chemotherapy. Breast Cancer Res Treat. 2011； 125： 767—74.［PMID： 21128110］</w:t>
      </w:r>
      <w:r>
        <w:rPr>
          <w:rFonts w:ascii="Yu Mincho" w:cs="Yu Mincho" w:eastAsia="Yu Mincho" w:hAnsi="Yu Mincho"/>
          <w:sz w:val="21"/>
          <w:szCs w:val="21"/>
          <w:vertAlign w:val="superscript"/>
        </w:rPr>
        <w:t xml:space="preserve">9)</w:t>
      </w:r>
      <w:r>
        <w:rPr>
          <w:rFonts w:ascii="Yu Mincho" w:cs="Yu Mincho" w:eastAsia="Yu Mincho" w:hAnsi="Yu Mincho"/>
          <w:sz w:val="21"/>
          <w:szCs w:val="21"/>
        </w:rPr>
        <w:t xml:space="preserve">Nyrop KA, Deal AM, Reeder—Hayes KE, et al. Patient—reported and clinician—reported chemotherapy—induced peripheral neuropathy in patients with early breast cancer： Current clinical practice. Cancer.2019； 125： 2945—54.［PMID： 31090930］</w:t>
      </w:r>
      <w:r>
        <w:rPr>
          <w:rFonts w:ascii="Yu Mincho" w:cs="Yu Mincho" w:eastAsia="Yu Mincho" w:hAnsi="Yu Mincho"/>
          <w:sz w:val="21"/>
          <w:szCs w:val="21"/>
          <w:vertAlign w:val="superscript"/>
        </w:rPr>
        <w:t xml:space="preserve">10)</w:t>
      </w:r>
      <w:r>
        <w:rPr>
          <w:rFonts w:ascii="Yu Mincho" w:cs="Yu Mincho" w:eastAsia="Yu Mincho" w:hAnsi="Yu Mincho"/>
          <w:sz w:val="21"/>
          <w:szCs w:val="21"/>
        </w:rPr>
        <w:t xml:space="preserve">Sánchez—Barroso L, Apellaniz—Ruiz M, Gutiérrez—Gutiérrez G, et al. Concomitant Medications and Risk of Chemotherapy—Induced Peripheral Neuropathy. Oncologist. 2019； 24： e784—92.［PMID： 30470691］</w:t>
      </w:r>
      <w:r>
        <w:rPr>
          <w:rFonts w:ascii="Yu Mincho" w:cs="Yu Mincho" w:eastAsia="Yu Mincho" w:hAnsi="Yu Mincho"/>
          <w:sz w:val="21"/>
          <w:szCs w:val="21"/>
          <w:vertAlign w:val="superscript"/>
        </w:rPr>
        <w:t xml:space="preserve">11)</w:t>
      </w:r>
      <w:r>
        <w:rPr>
          <w:rFonts w:ascii="Yu Mincho" w:cs="Yu Mincho" w:eastAsia="Yu Mincho" w:hAnsi="Yu Mincho"/>
          <w:sz w:val="21"/>
          <w:szCs w:val="21"/>
        </w:rPr>
        <w:t xml:space="preserve">Scheithauer W, Ramanathan RK, Moore M, et al. Dose modification and efficacy of nab—paclitaxel plus gemcitabine vs. gemcitabine for patients with metastatic pancreatic cancer： phase Ⅲ MPACT trial. J Gastrointest Oncol. 2016； 7： 469—78.［PMID： 27284481］</w:t>
      </w:r>
      <w:r>
        <w:rPr>
          <w:rFonts w:ascii="Yu Mincho" w:cs="Yu Mincho" w:eastAsia="Yu Mincho" w:hAnsi="Yu Mincho"/>
          <w:sz w:val="21"/>
          <w:szCs w:val="21"/>
          <w:vertAlign w:val="superscript"/>
        </w:rPr>
        <w:t xml:space="preserve">12)</w:t>
      </w:r>
      <w:r>
        <w:rPr>
          <w:rFonts w:ascii="Yu Mincho" w:cs="Yu Mincho" w:eastAsia="Yu Mincho" w:hAnsi="Yu Mincho"/>
          <w:sz w:val="21"/>
          <w:szCs w:val="21"/>
        </w:rPr>
        <w:t xml:space="preserve">Simon NB, Danso MA, Alberico TA, et al. The prevalence and pattern of chemotherapy—induced peripheral neuropathy among women with breast cancer receiving care in a large community oncol-ogy practice. Qual Life Res. 2017； 26： 2763—72.［PMID： 28664460］</w:t>
      </w:r>
      <w:r>
        <w:rPr>
          <w:rFonts w:ascii="Yu Mincho" w:cs="Yu Mincho" w:eastAsia="Yu Mincho" w:hAnsi="Yu Mincho"/>
          <w:sz w:val="21"/>
          <w:szCs w:val="21"/>
          <w:vertAlign w:val="superscript"/>
        </w:rPr>
        <w:t xml:space="preserve">13)</w:t>
      </w:r>
      <w:r>
        <w:rPr>
          <w:rFonts w:ascii="Yu Mincho" w:cs="Yu Mincho" w:eastAsia="Yu Mincho" w:hAnsi="Yu Mincho"/>
          <w:sz w:val="21"/>
          <w:szCs w:val="21"/>
        </w:rPr>
        <w:t xml:space="preserve">Speck RM, Sammel MD, Farrar JT, et al. Impact of chemotherapy—induced peripheral neuropathy on treatment delivery in nonmetastatic breast cancer. J Oncol Pract. 2013； 9： e234—40.［PMID： 23943894］</w:t>
      </w:r>
      <w:r>
        <w:rPr>
          <w:rFonts w:ascii="Yu Mincho" w:cs="Yu Mincho" w:eastAsia="Yu Mincho" w:hAnsi="Yu Mincho"/>
          <w:sz w:val="21"/>
          <w:szCs w:val="21"/>
          <w:vertAlign w:val="superscript"/>
        </w:rPr>
        <w:t xml:space="preserve">14)</w:t>
      </w:r>
      <w:r>
        <w:rPr>
          <w:rFonts w:ascii="Yu Mincho" w:cs="Yu Mincho" w:eastAsia="Yu Mincho" w:hAnsi="Yu Mincho"/>
          <w:sz w:val="21"/>
          <w:szCs w:val="21"/>
        </w:rPr>
        <w:t xml:space="preserve">Hertz DL, Kidwell KM, Vangipuram K, et al. Paclitaxel Plasma Concentration after the First Infusion総論章Predicts Treatment—Limiting Peripheral Neuropathy. Clin Cancer Res. 2018； 24： 3602—10.［PMID：29703818］</w:t>
      </w:r>
      <w:r>
        <w:rPr>
          <w:rFonts w:ascii="Yu Mincho" w:cs="Yu Mincho" w:eastAsia="Yu Mincho" w:hAnsi="Yu Mincho"/>
          <w:sz w:val="21"/>
          <w:szCs w:val="21"/>
          <w:vertAlign w:val="superscript"/>
        </w:rPr>
        <w:t xml:space="preserve">15)</w:t>
      </w:r>
      <w:r>
        <w:rPr>
          <w:rFonts w:ascii="Yu Mincho" w:cs="Yu Mincho" w:eastAsia="Yu Mincho" w:hAnsi="Yu Mincho"/>
          <w:sz w:val="21"/>
          <w:szCs w:val="21"/>
        </w:rPr>
        <w:t xml:space="preserve">Timmins HC, Li T, Trinh T, Kiernan MC, et al. Weekly Paclitaxel—Induced Neurotoxicity in Breast Cancer： Outcomes and Dose Response. Oncologist. 2021； 26： 366—74.［PMID： 33523545］</w:t>
      </w:r>
      <w:r>
        <w:rPr>
          <w:rFonts w:ascii="Yu Mincho" w:cs="Yu Mincho" w:eastAsia="Yu Mincho" w:hAnsi="Yu Mincho"/>
          <w:sz w:val="21"/>
          <w:szCs w:val="21"/>
          <w:vertAlign w:val="superscript"/>
        </w:rPr>
        <w:t xml:space="preserve">16)</w:t>
      </w:r>
      <w:r>
        <w:rPr>
          <w:rFonts w:ascii="Yu Mincho" w:cs="Yu Mincho" w:eastAsia="Yu Mincho" w:hAnsi="Yu Mincho"/>
          <w:sz w:val="21"/>
          <w:szCs w:val="21"/>
        </w:rPr>
        <w:t xml:space="preserve">Ali R, Baracos VE, Sawyer MB, et al. Lean body mass as an independent determinant of dose—limiting toxicity and neuropathy in patients with colon cancer treated with FOLFOX regimens. Cancer Med.2016； 5： 607—16.［PMID： 26814378］</w:t>
      </w:r>
      <w:r>
        <w:rPr>
          <w:rFonts w:ascii="Yu Mincho" w:cs="Yu Mincho" w:eastAsia="Yu Mincho" w:hAnsi="Yu Mincho"/>
          <w:sz w:val="21"/>
          <w:szCs w:val="21"/>
          <w:vertAlign w:val="superscript"/>
        </w:rPr>
        <w:t xml:space="preserve">17)</w:t>
      </w:r>
      <w:r>
        <w:rPr>
          <w:rFonts w:ascii="Yu Mincho" w:cs="Yu Mincho" w:eastAsia="Yu Mincho" w:hAnsi="Yu Mincho"/>
          <w:sz w:val="21"/>
          <w:szCs w:val="21"/>
        </w:rPr>
        <w:t xml:space="preserve">Storey DJ, Sakala M, McLean CM, et al. Capecitabine combined with oxaliplatin（CapOx）in clinical prac-tice： how significant is peripheral neuropathy? Ann Oncol. 2010； 21： 1657—61.［PMID： 20089559］</w:t>
      </w:r>
      <w:r>
        <w:rPr>
          <w:rFonts w:ascii="Yu Mincho" w:cs="Yu Mincho" w:eastAsia="Yu Mincho" w:hAnsi="Yu Mincho"/>
          <w:sz w:val="21"/>
          <w:szCs w:val="21"/>
          <w:vertAlign w:val="superscript"/>
        </w:rPr>
        <w:t xml:space="preserve">18)</w:t>
      </w:r>
      <w:r>
        <w:rPr>
          <w:rFonts w:ascii="Yu Mincho" w:cs="Yu Mincho" w:eastAsia="Yu Mincho" w:hAnsi="Yu Mincho"/>
          <w:sz w:val="21"/>
          <w:szCs w:val="21"/>
        </w:rPr>
        <w:t xml:space="preserve">Gibson MK, Li Y, Murphy B, et al； Eastern Cooperative Oncology Group. Randomized phase Ⅲ evalua-tion of cisplatin plus fluorouracil versus cisplatin plus paclitaxel in advanced head and neck cancer（E1395）： an intergroup trial of the Eastern Cooperative Oncology Group. J Clin Oncol. 2005； 23： 3562—7.［PMID： 15908667］</w:t>
      </w:r>
      <w:r>
        <w:rPr>
          <w:rFonts w:ascii="Yu Mincho" w:cs="Yu Mincho" w:eastAsia="Yu Mincho" w:hAnsi="Yu Mincho"/>
          <w:sz w:val="21"/>
          <w:szCs w:val="21"/>
          <w:vertAlign w:val="superscript"/>
        </w:rPr>
        <w:t xml:space="preserve">19)</w:t>
      </w:r>
      <w:r>
        <w:rPr>
          <w:rFonts w:ascii="Yu Mincho" w:cs="Yu Mincho" w:eastAsia="Yu Mincho" w:hAnsi="Yu Mincho"/>
          <w:sz w:val="21"/>
          <w:szCs w:val="21"/>
        </w:rPr>
        <w:t xml:space="preserve">Dank M, Zaluski J, Barone C, et al. Randomized phase Ⅲ study comparing irinotecan combined with 5—fluorouracil and folinic acid to cisplatin combined with 5—fluorouracil in chemotherapy naive patients with advanced adenocarcinoma of the stomach or esophagogastric junction. Ann Oncol. 2008； 19：1450—7.［PMID： 18558665］</w:t>
      </w:r>
      <w:r>
        <w:rPr>
          <w:rFonts w:ascii="Yu Mincho" w:cs="Yu Mincho" w:eastAsia="Yu Mincho" w:hAnsi="Yu Mincho"/>
          <w:sz w:val="21"/>
          <w:szCs w:val="21"/>
          <w:vertAlign w:val="superscript"/>
        </w:rPr>
        <w:t xml:space="preserve">20)</w:t>
      </w:r>
      <w:r>
        <w:rPr>
          <w:rFonts w:ascii="Yu Mincho" w:cs="Yu Mincho" w:eastAsia="Yu Mincho" w:hAnsi="Yu Mincho"/>
          <w:sz w:val="21"/>
          <w:szCs w:val="21"/>
        </w:rPr>
        <w:t xml:space="preserve">Dogliotti L, Cartenì G, Siena S, et al. Gemcitabine plus cisplatin versus gemcitabine plus carboplatin as first—line chemotherapy in advanced transitional cell carcinoma of the urothelium： results of a ran-domized phase 2 trial. Eur Urol. 2007； 52： 134—41.［PMID： 17207911］</w:t>
      </w:r>
      <w:r>
        <w:rPr>
          <w:rFonts w:ascii="Yu Mincho" w:cs="Yu Mincho" w:eastAsia="Yu Mincho" w:hAnsi="Yu Mincho"/>
          <w:sz w:val="21"/>
          <w:szCs w:val="21"/>
          <w:vertAlign w:val="superscript"/>
        </w:rPr>
        <w:t xml:space="preserve">21)</w:t>
      </w:r>
      <w:r>
        <w:rPr>
          <w:rFonts w:ascii="Yu Mincho" w:cs="Yu Mincho" w:eastAsia="Yu Mincho" w:hAnsi="Yu Mincho"/>
          <w:sz w:val="21"/>
          <w:szCs w:val="21"/>
        </w:rPr>
        <w:t xml:space="preserve">Tewari KS, Sill MW, Long HJ 3rd, et al. Improved survival with bevacizumab in advanced cervical cancer. N Engl J Med. 2014； 370： 734—43.［PMID： 24552320］</w:t>
      </w:r>
      <w:r>
        <w:rPr>
          <w:rFonts w:ascii="Yu Mincho" w:cs="Yu Mincho" w:eastAsia="Yu Mincho" w:hAnsi="Yu Mincho"/>
          <w:sz w:val="21"/>
          <w:szCs w:val="21"/>
          <w:vertAlign w:val="superscript"/>
        </w:rPr>
        <w:t xml:space="preserve">22)</w:t>
      </w:r>
      <w:r>
        <w:rPr>
          <w:rFonts w:ascii="Yu Mincho" w:cs="Yu Mincho" w:eastAsia="Yu Mincho" w:hAnsi="Yu Mincho"/>
          <w:sz w:val="21"/>
          <w:szCs w:val="21"/>
        </w:rPr>
        <w:t xml:space="preserve">Beijers AJ, Mols F, Tjan—Heijnen VC, et al. Peripheral neuropathy in colorectal cancer survivors： the influence of oxaliplatin administration. Results from the population—based PROFILES registry. Acta Oncol. 2015； 54： 463—9.［PMID： 25417732］</w:t>
      </w:r>
      <w:r>
        <w:rPr>
          <w:rFonts w:ascii="Yu Mincho" w:cs="Yu Mincho" w:eastAsia="Yu Mincho" w:hAnsi="Yu Mincho"/>
          <w:sz w:val="21"/>
          <w:szCs w:val="21"/>
          <w:vertAlign w:val="superscript"/>
        </w:rPr>
        <w:t xml:space="preserve">23)</w:t>
      </w:r>
      <w:r>
        <w:rPr>
          <w:rFonts w:ascii="Yu Mincho" w:cs="Yu Mincho" w:eastAsia="Yu Mincho" w:hAnsi="Yu Mincho"/>
          <w:sz w:val="21"/>
          <w:szCs w:val="21"/>
        </w:rPr>
        <w:t xml:space="preserve">Cespedes Feliciano EM, Chen WY, Lee V, et al. Body Composition, Adherence to Anthracycline and Taxane—Based Chemotherapy, and Survival After Nonmetastatic Breast Cancer. JAMA Oncol. 2020；6： 264—70.［PMID： 31804676］</w:t>
      </w:r>
      <w:r>
        <w:rPr>
          <w:rFonts w:ascii="Yu Mincho" w:cs="Yu Mincho" w:eastAsia="Yu Mincho" w:hAnsi="Yu Mincho"/>
          <w:sz w:val="21"/>
          <w:szCs w:val="21"/>
          <w:vertAlign w:val="superscript"/>
        </w:rPr>
        <w:t xml:space="preserve">24)</w:t>
      </w:r>
      <w:r>
        <w:rPr>
          <w:rFonts w:ascii="Yu Mincho" w:cs="Yu Mincho" w:eastAsia="Yu Mincho" w:hAnsi="Yu Mincho"/>
          <w:sz w:val="21"/>
          <w:szCs w:val="21"/>
        </w:rPr>
        <w:t xml:space="preserve">Loibl S, Skacel T, Nekljudova V, et al. Evaluating the impact of Relative Total Dose Intensity（RTDI）on patients’ short and long—term outcome in taxane— and anthracycline—based chemotherapy of meta-static breast cancer— a pooled analysis. BMC Cancer. 2011； 11： 131.［PMID： 21486442］</w:t>
      </w:r>
      <w:r>
        <w:rPr>
          <w:rFonts w:ascii="Yu Mincho" w:cs="Yu Mincho" w:eastAsia="Yu Mincho" w:hAnsi="Yu Mincho"/>
          <w:sz w:val="21"/>
          <w:szCs w:val="21"/>
          <w:vertAlign w:val="superscript"/>
        </w:rPr>
        <w:t xml:space="preserve">25)</w:t>
      </w:r>
      <w:r>
        <w:rPr>
          <w:rFonts w:ascii="Yu Mincho" w:cs="Yu Mincho" w:eastAsia="Yu Mincho" w:hAnsi="Yu Mincho"/>
          <w:sz w:val="21"/>
          <w:szCs w:val="21"/>
        </w:rPr>
        <w:t xml:space="preserve">de Morrée ES, Vogelzang NJ, Petrylak DP, et al. Association of Survival Benefit With Docetaxel in Prostate Cancer and Total Number of Cycles Administered： A Post Hoc Analysis of the Mainsail Study. JAMA Oncol. 2017； 3： 68—75.［PMID： 27560549］</w:t>
      </w:r>
      <w:r>
        <w:rPr>
          <w:rFonts w:ascii="Yu Mincho" w:cs="Yu Mincho" w:eastAsia="Yu Mincho" w:hAnsi="Yu Mincho"/>
          <w:sz w:val="21"/>
          <w:szCs w:val="21"/>
          <w:vertAlign w:val="superscript"/>
        </w:rPr>
        <w:t xml:space="preserve">26)</w:t>
      </w:r>
      <w:r>
        <w:rPr>
          <w:rFonts w:ascii="Yu Mincho" w:cs="Yu Mincho" w:eastAsia="Yu Mincho" w:hAnsi="Yu Mincho"/>
          <w:sz w:val="21"/>
          <w:szCs w:val="21"/>
        </w:rPr>
        <w:t xml:space="preserve">Hanna RK, Poniewierski MS, Laskey RA, et al. Predictors of reduced relative dose intensity and its relationship to mortality in women receiving multi—agent chemotherapy for epithelial ovarian cancer.Gynecol Oncol. 2013； 129： 74—80.［PMID： 23262376］</w:t>
      </w:r>
      <w:r>
        <w:rPr>
          <w:rFonts w:ascii="Yu Mincho" w:cs="Yu Mincho" w:eastAsia="Yu Mincho" w:hAnsi="Yu Mincho"/>
          <w:sz w:val="21"/>
          <w:szCs w:val="21"/>
          <w:vertAlign w:val="superscript"/>
        </w:rPr>
        <w:t xml:space="preserve">27)</w:t>
      </w:r>
      <w:r>
        <w:rPr>
          <w:rFonts w:ascii="Yu Mincho" w:cs="Yu Mincho" w:eastAsia="Yu Mincho" w:hAnsi="Yu Mincho"/>
          <w:sz w:val="21"/>
          <w:szCs w:val="21"/>
        </w:rPr>
        <w:t xml:space="preserve">Bosly A, Bron D, Van Hoof A, et al. Achievement of optimal average relative dose intensity and correla-tion with survival in diffuse large B—cell lymphoma patients treated with CHOP. Ann Hematol. 2008；87： 277—83.［PMID： 17952688］</w:t>
      </w:r>
      <w:r>
        <w:rPr>
          <w:rFonts w:ascii="Yu Mincho" w:cs="Yu Mincho" w:eastAsia="Yu Mincho" w:hAnsi="Yu Mincho"/>
          <w:sz w:val="21"/>
          <w:szCs w:val="21"/>
          <w:vertAlign w:val="superscript"/>
        </w:rPr>
        <w:t xml:space="preserve">28)</w:t>
      </w:r>
      <w:r>
        <w:rPr>
          <w:rFonts w:ascii="Yu Mincho" w:cs="Yu Mincho" w:eastAsia="Yu Mincho" w:hAnsi="Yu Mincho"/>
          <w:sz w:val="21"/>
          <w:szCs w:val="21"/>
        </w:rPr>
        <w:t xml:space="preserve">Mateos MV, Richardson PG, Dimopoulos MA, et al. Effect of cumulative bortezomib dose on survival in multiple myeloma patients receiving bortezomib—melphalan—prednisone in the phase Ⅲ VISTA study.Am J Hematol. 2015； 90： 314—9.［PMID： 25557740］</w:t>
      </w:r>
      <w:r>
        <w:rPr>
          <w:rFonts w:ascii="Yu Mincho" w:cs="Yu Mincho" w:eastAsia="Yu Mincho" w:hAnsi="Yu Mincho"/>
          <w:sz w:val="21"/>
          <w:szCs w:val="21"/>
          <w:vertAlign w:val="superscript"/>
        </w:rPr>
        <w:t xml:space="preserve">29)</w:t>
      </w:r>
      <w:r>
        <w:rPr>
          <w:rFonts w:ascii="Yu Mincho" w:cs="Yu Mincho" w:eastAsia="Yu Mincho" w:hAnsi="Yu Mincho"/>
          <w:sz w:val="21"/>
          <w:szCs w:val="21"/>
        </w:rPr>
        <w:t xml:space="preserve">Denduluri N, Lyman GH, Wang Y, et al. Chemotherapy Dose Intensity and Overall Survival Among Patients With Advanced Breast or Ovarian Cancer. Clin Breast Cancer. 2018； 18： 380—6.［PMID：29622384］</w:t>
      </w:r>
      <w:r>
        <w:rPr>
          <w:rFonts w:ascii="Yu Mincho" w:cs="Yu Mincho" w:eastAsia="Yu Mincho" w:hAnsi="Yu Mincho"/>
          <w:sz w:val="21"/>
          <w:szCs w:val="21"/>
          <w:vertAlign w:val="superscript"/>
        </w:rPr>
        <w:t xml:space="preserve">30)</w:t>
      </w:r>
      <w:r>
        <w:rPr>
          <w:rFonts w:ascii="Yu Mincho" w:cs="Yu Mincho" w:eastAsia="Yu Mincho" w:hAnsi="Yu Mincho"/>
          <w:sz w:val="21"/>
          <w:szCs w:val="21"/>
        </w:rPr>
        <w:t xml:space="preserve">Olawaiye AB, Java JJ, Krivak TC, et al. Does adjuvant chemotherapy dose modification have an impact on the outcome of patients diagnosed with advanced stage ovarian cancer? An NRG Oncology／Gyne-cologic Oncology Group study. Gynecol Oncol. 2018； 151： 18—23.［PMID： 30135020］</w:t>
      </w:r>
      <w:r>
        <w:rPr>
          <w:rFonts w:ascii="Yu Mincho" w:cs="Yu Mincho" w:eastAsia="Yu Mincho" w:hAnsi="Yu Mincho"/>
          <w:sz w:val="21"/>
          <w:szCs w:val="21"/>
          <w:vertAlign w:val="superscript"/>
        </w:rPr>
        <w:t xml:space="preserve">31)</w:t>
      </w:r>
      <w:r>
        <w:rPr>
          <w:rFonts w:ascii="Yu Mincho" w:cs="Yu Mincho" w:eastAsia="Yu Mincho" w:hAnsi="Yu Mincho"/>
          <w:sz w:val="21"/>
          <w:szCs w:val="21"/>
        </w:rPr>
        <w:t xml:space="preserve">Veitch ZWN, Omar FK, Derek T, et al. Adjustments in relative dose intensity（RDI）for FECD chemo-therapy in breast cancer： A population analysis. J Clin Oncol. 2017； 35： 547.</w:t>
      </w:r>
      <w:r>
        <w:rPr>
          <w:rFonts w:ascii="Yu Mincho" w:cs="Yu Mincho" w:eastAsia="Yu Mincho" w:hAnsi="Yu Mincho"/>
          <w:sz w:val="21"/>
          <w:szCs w:val="21"/>
          <w:vertAlign w:val="superscript"/>
        </w:rPr>
        <w:t xml:space="preserve">32)</w:t>
      </w:r>
      <w:r>
        <w:rPr>
          <w:rFonts w:ascii="Yu Mincho" w:cs="Yu Mincho" w:eastAsia="Yu Mincho" w:hAnsi="Yu Mincho"/>
          <w:sz w:val="21"/>
          <w:szCs w:val="21"/>
        </w:rPr>
        <w:t xml:space="preserve">Lepage E, Gisselbrecht C, Haioun C, et al. Prognostic significance of received relative dose intensity in non—Hodgkin’s lymphoma patients： application to LNH—87 protocol. The GELA.（Groupe d’Etude des Lymphomes de l’Adulte）. Ann Oncol. 1993； 4： 651—6.［PMID： 7694634］</w:t>
      </w:r>
      <w:r>
        <w:rPr>
          <w:rFonts w:ascii="Yu Mincho" w:cs="Yu Mincho" w:eastAsia="Yu Mincho" w:hAnsi="Yu Mincho"/>
          <w:sz w:val="21"/>
          <w:szCs w:val="21"/>
          <w:vertAlign w:val="superscript"/>
        </w:rPr>
        <w:t xml:space="preserve">33)</w:t>
      </w:r>
      <w:r>
        <w:rPr>
          <w:rFonts w:ascii="Yu Mincho" w:cs="Yu Mincho" w:eastAsia="Yu Mincho" w:hAnsi="Yu Mincho"/>
          <w:sz w:val="21"/>
          <w:szCs w:val="21"/>
        </w:rPr>
        <w:t xml:space="preserve">André T, Meyerhardt J, Iveson T, et al. Effect of duration of adjuvant chemotherapy for patients with stage Ⅲ colon cancer（IDEA collaboration）： final results from a prospective, pooled analysis of six ran-domised, phase 3 trials. Lancet Oncol. 2020； 21： 1620—9.［PMID： 33271092］</w:t>
      </w:r>
      <w:r>
        <w:rPr>
          <w:rFonts w:ascii="Yu Mincho" w:cs="Yu Mincho" w:eastAsia="Yu Mincho" w:hAnsi="Yu Mincho"/>
          <w:sz w:val="21"/>
          <w:szCs w:val="21"/>
          <w:vertAlign w:val="superscript"/>
        </w:rPr>
        <w:t xml:space="preserve">34)</w:t>
      </w:r>
      <w:r>
        <w:rPr>
          <w:rFonts w:ascii="Yu Mincho" w:cs="Yu Mincho" w:eastAsia="Yu Mincho" w:hAnsi="Yu Mincho"/>
          <w:sz w:val="21"/>
          <w:szCs w:val="21"/>
        </w:rPr>
        <w:t xml:space="preserve">Shulman LN, Cirrincione CT, Berry DA, et al. Six cycles of doxorubicin and cyclophosphamide or Pacli-taxel are not superior to four cycles as adjuvant chemotherapy for breast cancer in women with zero to three positive axillary nodes： Cancer and Leukemia Group B 40101. J Clin Oncol. 2012； 30： 4071—6.［PMID： 22826271］</w:t>
      </w:r>
      <w:r>
        <w:rPr>
          <w:rFonts w:ascii="Yu Mincho" w:cs="Yu Mincho" w:eastAsia="Yu Mincho" w:hAnsi="Yu Mincho"/>
          <w:sz w:val="21"/>
          <w:szCs w:val="21"/>
          <w:vertAlign w:val="superscript"/>
        </w:rPr>
        <w:t xml:space="preserve">35)</w:t>
      </w:r>
      <w:r>
        <w:rPr>
          <w:rFonts w:ascii="Yu Mincho" w:cs="Yu Mincho" w:eastAsia="Yu Mincho" w:hAnsi="Yu Mincho"/>
          <w:sz w:val="21"/>
          <w:szCs w:val="21"/>
        </w:rPr>
        <w:t xml:space="preserve">Land SR, Kopec JA, Cecchini RS, et al. Neurotoxicity from oxaliplatin combined with weekly bolus fluo-rouracil and leucovorin as surgical adjuvant chemotherapy for stage Ⅱ and Ⅲ colon cancer： NSABP C—07. J Clin Oncol. 2007； 25： 2205—11.［PMID： 17470850］</w:t>
      </w:r>
      <w:r>
        <w:rPr>
          <w:rFonts w:ascii="Yu Mincho" w:cs="Yu Mincho" w:eastAsia="Yu Mincho" w:hAnsi="Yu Mincho"/>
          <w:sz w:val="21"/>
          <w:szCs w:val="21"/>
          <w:vertAlign w:val="superscript"/>
        </w:rPr>
        <w:t xml:space="preserve">36)</w:t>
      </w:r>
      <w:r>
        <w:rPr>
          <w:rFonts w:ascii="Yu Mincho" w:cs="Yu Mincho" w:eastAsia="Yu Mincho" w:hAnsi="Yu Mincho"/>
          <w:sz w:val="21"/>
          <w:szCs w:val="21"/>
        </w:rPr>
        <w:t xml:space="preserve">du Bois A, Lück HJ, Meier W, et al； Arbeitsgemeinschaft Gynäkologische Onkologie Ovarian Cancer Study Group. A randomized clinical trial of cisplatin／paclitaxel versus carboplatin／paclitaxel as first—line treatment of ovarian cancer. J Natl Cancer Inst. 2003； 95： 1320—9.［PMID： 12953086］</w:t>
      </w:r>
      <w:r>
        <w:rPr>
          <w:rFonts w:ascii="Yu Mincho" w:cs="Yu Mincho" w:eastAsia="Yu Mincho" w:hAnsi="Yu Mincho"/>
          <w:sz w:val="21"/>
          <w:szCs w:val="21"/>
          <w:vertAlign w:val="superscript"/>
        </w:rPr>
        <w:t xml:space="preserve">37)</w:t>
      </w:r>
      <w:r>
        <w:rPr>
          <w:rFonts w:ascii="Yu Mincho" w:cs="Yu Mincho" w:eastAsia="Yu Mincho" w:hAnsi="Yu Mincho"/>
          <w:sz w:val="21"/>
          <w:szCs w:val="21"/>
        </w:rPr>
        <w:t xml:space="preserve">Hertz DL, Childs DS, Park SB, et al. Patient—centric decision framework for treatment alterations in patients with Chemotherapy—induced Peripheral Neuropathy（CIPN）. Cancer Treat Rev. 2021； 99：102241.［PMID： 34174668］</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2026-09-29T14:51:02.139Z</dcterms:created>
  <dcterms:modified xsi:type="dcterms:W3CDTF">2026-09-29T14:51:02.139Z</dcterms:modified>
</cp:coreProperties>
</file>

<file path=docProps/custom.xml><?xml version="1.0" encoding="utf-8"?>
<Properties xmlns="http://schemas.openxmlformats.org/officeDocument/2006/custom-properties" xmlns:vt="http://schemas.openxmlformats.org/officeDocument/2006/docPropsVTypes"/>
</file>