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J-2. デュロキセチン</w:t>
      </w:r>
    </w:p>
    <w:p>
      <w:pPr>
        <w:spacing w:after="120"/>
      </w:pPr>
      <w:r>
        <w:rPr>
          <w:rFonts w:ascii="Yu Mincho" w:cs="Yu Mincho" w:eastAsia="Yu Mincho" w:hAnsi="Yu Mincho"/>
          <w:sz w:val="21"/>
          <w:szCs w:val="21"/>
        </w:rPr>
        <w:t xml:space="preserve">担当：中島　／　2023年版 第2章 pp.41–43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2023年版に既にある図表：図1 デュロキセチンの作用機序、表1 デュロキセチンおよびプラセボ投与におけるGrade2,3の有害事象</w:t>
      </w:r>
    </w:p>
    <w:p>
      <w:pPr>
        <w:pStyle w:val="ListParagraph"/>
        <w:numPr>
          <w:ilvl w:val="0"/>
          <w:numId w:val="2"/>
        </w:numPr>
        <w:spacing w:after="60"/>
      </w:pPr>
      <w:r>
        <w:rPr>
          <w:rFonts w:ascii="Yu Mincho" w:cs="Yu Mincho" w:eastAsia="Yu Mincho" w:hAnsi="Yu Mincho"/>
          <w:sz w:val="21"/>
          <w:szCs w:val="21"/>
        </w:rPr>
        <w:t xml:space="preserve">図：用量漸増スケジュール（20mg→40mg→60mg）と効果判定・中止のタイミング</w:t>
      </w:r>
    </w:p>
    <w:p>
      <w:pPr>
        <w:pStyle w:val="ListParagraph"/>
        <w:numPr>
          <w:ilvl w:val="0"/>
          <w:numId w:val="2"/>
        </w:numPr>
        <w:spacing w:after="60"/>
      </w:pPr>
      <w:r>
        <w:rPr>
          <w:rFonts w:ascii="Yu Mincho" w:cs="Yu Mincho" w:eastAsia="Yu Mincho" w:hAnsi="Yu Mincho"/>
          <w:sz w:val="21"/>
          <w:szCs w:val="21"/>
        </w:rPr>
        <w:t xml:space="preserve">表：主な薬物相互作用と注意すべき併用薬（CYP1A2/2D6、セロトニン症候群、出血）</w:t>
      </w:r>
    </w:p>
    <w:p>
      <w:pPr>
        <w:pStyle w:val="ListParagraph"/>
        <w:numPr>
          <w:ilvl w:val="0"/>
          <w:numId w:val="2"/>
        </w:numPr>
        <w:spacing w:after="60"/>
      </w:pPr>
      <w:r>
        <w:rPr>
          <w:rFonts w:ascii="Yu Mincho" w:cs="Yu Mincho" w:eastAsia="Yu Mincho" w:hAnsi="Yu Mincho"/>
          <w:sz w:val="21"/>
          <w:szCs w:val="21"/>
        </w:rPr>
        <w:t xml:space="preserve">表：主要RCT（Smith 2013、Hirayama 2015、Salehifar 2020 ほか）の要約表 ※CQ側のSoFと共通化</w:t>
      </w:r>
    </w:p>
    <w:p>
      <w:pPr>
        <w:pStyle w:val="ListParagraph"/>
        <w:numPr>
          <w:ilvl w:val="0"/>
          <w:numId w:val="2"/>
        </w:numPr>
        <w:spacing w:after="60"/>
      </w:pPr>
      <w:r>
        <w:rPr>
          <w:rFonts w:ascii="Yu Mincho" w:cs="Yu Mincho" w:eastAsia="Yu Mincho" w:hAnsi="Yu Mincho"/>
          <w:sz w:val="21"/>
          <w:szCs w:val="21"/>
        </w:rPr>
        <w:t xml:space="preserve">図：デュロキセチン開始後の症状スコア推移（Smith 2013の再描画・白黒）</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2．デュロキセチン</w:t>
      </w:r>
    </w:p>
    <w:p>
      <w:pPr>
        <w:spacing w:after="120"/>
        <w:ind w:firstLine="210"/>
      </w:pPr>
      <w:r>
        <w:rPr>
          <w:rFonts w:ascii="Yu Mincho" w:cs="Yu Mincho" w:eastAsia="Yu Mincho" w:hAnsi="Yu Mincho"/>
          <w:sz w:val="21"/>
          <w:szCs w:val="21"/>
        </w:rPr>
        <w:t xml:space="preserve">添付文書による効能・効果うつ病・うつ状態，糖尿病性神経障害に伴う疼痛，線維筋痛症に伴う疼痛，慢性腰痛症，変形性関節症に伴う疼痛投与量糖尿病性神経障害に伴う疼痛には 1 日 1 回朝食後 40 mg を投与する。投与は 1 日 20 mg から開始し，1 週間以上の間隔を空けて増量をする。効果不十分な場合は 1 日 60 mg まで増量可能である。</w:t>
      </w:r>
    </w:p>
    <w:p>
      <w:pPr>
        <w:spacing w:after="120"/>
        <w:ind w:firstLine="210"/>
      </w:pPr>
      <w:r>
        <w:rPr>
          <w:rFonts w:ascii="Yu Mincho" w:cs="Yu Mincho" w:eastAsia="Yu Mincho" w:hAnsi="Yu Mincho"/>
          <w:sz w:val="21"/>
          <w:szCs w:val="21"/>
        </w:rPr>
        <w:t xml:space="preserve">CIPN に対する確立された投与量はないが，Hirayama らの臨床試験では上記同様にデュロキセチン 20 mg 朝食後 1 回投与を 1 週間，その後 40 mg 朝食後 1 回に増量している1）。また，Smith らは 30 mg を 1 週間投与した後，60 mg に増量して 4 週間投与している2）。</w:t>
      </w:r>
    </w:p>
    <w:p>
      <w:pPr>
        <w:spacing w:after="120"/>
        <w:ind w:firstLine="210"/>
      </w:pPr>
      <w:r>
        <w:rPr>
          <w:rFonts w:ascii="Yu Mincho" w:cs="Yu Mincho" w:eastAsia="Yu Mincho" w:hAnsi="Yu Mincho"/>
          <w:sz w:val="21"/>
          <w:szCs w:val="21"/>
        </w:rPr>
        <w:t xml:space="preserve">作用機序デュロキセチンは，セロトニンおよびノルアドレナリンの再取り込みを阻害し，下行性疼痛抑制系神経を賦活することで疼痛を抑制する（図 1）。</w:t>
      </w:r>
    </w:p>
    <w:p>
      <w:pPr>
        <w:spacing w:after="120"/>
        <w:ind w:firstLine="210"/>
      </w:pPr>
      <w:r>
        <w:rPr>
          <w:rFonts w:ascii="Yu Mincho" w:cs="Yu Mincho" w:eastAsia="Yu Mincho" w:hAnsi="Yu Mincho"/>
          <w:sz w:val="21"/>
          <w:szCs w:val="21"/>
        </w:rPr>
        <w:t xml:space="preserve">神経細胞間のシナプス間隙においてセロトニンやノルアドレナリンなどが情報を介在する。これらがシナプス末端から再取り込みされることにより，シナプス間隙のセロトニンやノルアドレナリン量は調整されている。シナプス間隙にセロトニンやノルアドレナリンが少ない状態だとシナプス後神経に刺激が伝わりにくい。デュロキセチンは，セロトニンやノルアドレナリンの再取り込み部分に蓋をする形で再取り込みを抑制し，シナプス間隙のセロトニンやノルアドレナリン濃度を高める。</w:t>
      </w:r>
    </w:p>
    <w:p>
      <w:pPr>
        <w:spacing w:after="120"/>
        <w:ind w:firstLine="210"/>
      </w:pPr>
      <w:r>
        <w:rPr>
          <w:rFonts w:ascii="Yu Mincho" w:cs="Yu Mincho" w:eastAsia="Yu Mincho" w:hAnsi="Yu Mincho"/>
          <w:sz w:val="21"/>
          <w:szCs w:val="21"/>
        </w:rPr>
        <w:t xml:space="preserve">抗うつ作用：デュロキセチンは脳内の神経シナプス間隙のセロトニン，ノルアドレナリン濃度を高め，脳神経細胞を活性化することにより抗うつ効果を発揮する。</w:t>
      </w:r>
    </w:p>
    <w:p>
      <w:pPr>
        <w:spacing w:after="120"/>
        <w:ind w:firstLine="210"/>
      </w:pPr>
      <w:r>
        <w:rPr>
          <w:rFonts w:ascii="Yu Mincho" w:cs="Yu Mincho" w:eastAsia="Yu Mincho" w:hAnsi="Yu Mincho"/>
          <w:sz w:val="21"/>
          <w:szCs w:val="21"/>
        </w:rPr>
        <w:t xml:space="preserve">鎮痛作用：侵害受容器からの痛み刺激を中枢に伝えるのが Aβ線維，Aδ線維，C 線維であり，神経障害性疼痛にもこれらの神経障害が関与する。脊髄後角で一回神経を乗り換え，総論章脳に向かう（上行性疼痛伝導系）。一方，脳からは下行性疼痛抑制系神経が走っており，この神経が活性化することで疼痛が軽減する。デュロキセチンはこの下行性疼痛抑制系神経の刺激を強めることで疼痛を抑制する。</w:t>
      </w:r>
    </w:p>
    <w:p>
      <w:pPr>
        <w:spacing w:after="120"/>
        <w:ind w:firstLine="210"/>
      </w:pPr>
      <w:r>
        <w:rPr>
          <w:rFonts w:ascii="Yu Mincho" w:cs="Yu Mincho" w:eastAsia="Yu Mincho" w:hAnsi="Yu Mincho"/>
          <w:sz w:val="21"/>
          <w:szCs w:val="21"/>
        </w:rPr>
        <w:t xml:space="preserve">有害事象330 名に投与を行った Smith らの報告における，デュロキセチン 30 mg を 1 週間投与後に60 mg を 4 週間投与した群およびプラセボ群における有害事象を表 1 に示す2）。彼らの報告によると，両群で有害事象に明らかな相違はない。</w:t>
      </w:r>
    </w:p>
    <w:p>
      <w:pPr>
        <w:spacing w:after="120"/>
        <w:ind w:firstLine="210"/>
      </w:pPr>
      <w:r>
        <w:rPr>
          <w:rFonts w:ascii="Yu Mincho" w:cs="Yu Mincho" w:eastAsia="Yu Mincho" w:hAnsi="Yu Mincho"/>
          <w:sz w:val="21"/>
          <w:szCs w:val="21"/>
        </w:rPr>
        <w:t xml:space="preserve">国内添付文書によると，禁忌は高度の肝障害，高度の腎障害，コントロール不良の閉塞隅角緑内障等である。注意事項は 24 歳以下の患者で自殺念慮，自殺企図のリスク増加などである。糖尿病性神経障害に伴う疼痛に対して投与した場合の有害事象は頻度の高いものから，傾眠 21.6％，悪心 14.0％，便秘 5.3％，倦怠感 5.3％であった。眠気，めまいなどが起こることがあるので，自転車運転など危険を伴う機械を操作する際には十分注意させる。また，これらの症状を自覚した場合は自動車の運転などをしないよう患者に指導する。</w:t>
      </w:r>
    </w:p>
    <w:p>
      <w:pPr>
        <w:spacing w:after="120"/>
        <w:ind w:firstLine="210"/>
      </w:pPr>
      <w:r>
        <w:rPr>
          <w:rFonts w:ascii="Yu Mincho" w:cs="Yu Mincho" w:eastAsia="Yu Mincho" w:hAnsi="Yu Mincho"/>
          <w:sz w:val="21"/>
          <w:szCs w:val="21"/>
        </w:rPr>
        <w:t xml:space="preserve">注意すべき併用薬禁忌はモノアミン酸化酵素（MAO）阻害薬（作用増強），併用注意はピモジド（不整脈），アルコール（中枢神経抑制作用増強），中枢神経抑制薬（中枢神経抑制作用増強），メチルチオニニウム（セロトニン症候群＊），フルボキサミン（デュロキセチン血中濃度上昇），シプロフロキサシン（デュロキセチン血中濃度上昇），エノキサシン（デュロキセチン血中濃度上昇），三図 1．デュロキセチンの作用機序（平山泰生．がん薬物療法に伴う末梢神経障害（CIPN）．ナーシング．2016；36：20‒4 より引用）シナプス間隙シナプス後ニューロンセロトニン神経 ノルアドレナリン神経●投与前シナプス間隙シナプス後ニューロンデュロキセチンセロトニン神経 ノルアドレナリン神経●投与後表 1．デュロキセチンおよびプラセボ投与における Grade 2，3 の有害事象デュロキセチン プラセボ有害事象，％ Grade 2 Grade 3 Grade 2 Grade 3めまい 2 1 1 0食欲不振 3 0 1 0悪心 4 1 3 0眠気 3 0 8 0倦怠感 6 1 5 0不眠 4 1 5 2（文献 2 より）環系抗うつ薬（三環系抗うつ薬血中濃度上昇），抗不整脈薬（抗不整脈薬血中濃度上昇），パロキセチン（デュロキセチン血中濃度上昇），セロトニン作用薬（セロトニン症候群＊），ワルファリンカリウム（ワルファリン血中遊離濃度上昇），非ステロイド系抗炎症薬（出血傾向増強）などである。</w:t>
      </w:r>
    </w:p>
    <w:p>
      <w:pPr>
        <w:spacing w:after="120"/>
        <w:ind w:firstLine="210"/>
      </w:pPr>
      <w:r>
        <w:rPr>
          <w:rFonts w:ascii="Yu Mincho" w:cs="Yu Mincho" w:eastAsia="Yu Mincho" w:hAnsi="Yu Mincho"/>
          <w:sz w:val="21"/>
          <w:szCs w:val="21"/>
        </w:rPr>
        <w:t xml:space="preserve">＊セロトニン症候群：脳内のセロトニン過剰による症状。自律神経症状としては体温上昇，異常発汗，心拍数増加，悪心，下痢など，神経筋肉症状としてはミオクローヌス，筋強剛，振戦など，精神症状としては混乱，興奮などが挙げられる。</w:t>
      </w:r>
    </w:p>
    <w:p>
      <w:pPr>
        <w:spacing w:after="120"/>
        <w:ind w:firstLine="210"/>
      </w:pPr>
      <w:r>
        <w:rPr>
          <w:rFonts w:ascii="Yu Mincho" w:cs="Yu Mincho" w:eastAsia="Yu Mincho" w:hAnsi="Yu Mincho"/>
          <w:sz w:val="21"/>
          <w:szCs w:val="21"/>
        </w:rPr>
        <w:t xml:space="preserve">※薬理作用に基づく医薬品の適応外事例について添付文書上は上記の通りであるが，適応外使用に係る保険診療上の取扱いについて，デュロキセチン塩酸塩を神経障害性疼痛に対して処方した場合，当該使用事例が審査上認められることがある（厚生労働省保険局令和 5 年 2 月 27 日通知）。</w:t>
      </w:r>
    </w:p>
    <w:p>
      <w:pPr>
        <w:spacing w:after="120"/>
        <w:ind w:firstLine="210"/>
      </w:pPr>
      <w:r>
        <w:rPr>
          <w:rFonts w:ascii="Yu Mincho" w:cs="Yu Mincho" w:eastAsia="Yu Mincho" w:hAnsi="Yu Mincho"/>
          <w:sz w:val="21"/>
          <w:szCs w:val="21"/>
        </w:rPr>
        <w:t xml:space="preserve">（中島 寿久）</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Hirayama Y, Ishitani K, Sato Y, et al. Effect of duloxetine in Japanese patients with chemotherapy—induced peripheral neuropathy： a pilot randomized trial. Int J Clin Oncol. 2015； 20： 866—71.［PMID：25762165］</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Smith EM, Pang H, Cirrincione C, et al； Alliance for Clinical Trials in Oncology. Effect of duloxetine on pain, function, and quality of life among patients with chemotherapy—induced painful peripheral neu-ropathy： a randomized clinical trial. JAMA. 2013； 309： 1359—67.［PMID： 23549581］</w:t>
      </w:r>
      <w:r>
        <w:rPr>
          <w:rFonts w:ascii="Yu Mincho" w:cs="Yu Mincho" w:eastAsia="Yu Mincho" w:hAnsi="Yu Mincho"/>
          <w:sz w:val="21"/>
          <w:szCs w:val="21"/>
          <w:vertAlign w:val="superscript"/>
        </w:rPr>
        <w:t xml:space="preserve">3)</w:t>
      </w:r>
      <w:r>
        <w:rPr>
          <w:rFonts w:ascii="Yu Mincho" w:cs="Yu Mincho" w:eastAsia="Yu Mincho" w:hAnsi="Yu Mincho"/>
          <w:sz w:val="21"/>
          <w:szCs w:val="21"/>
        </w:rPr>
        <w:t xml:space="preserve">平山泰生．がん薬物療法に伴う末梢神経障害（CIPN）．ナーシング．2016； 36： 20—4．</w:t>
      </w:r>
    </w:p>
    <w:p>
      <w:r>
        <w:br w:type="page"/>
      </w:r>
    </w:p>
    <w:p>
      <w:pPr>
        <w:pStyle w:val="Heading1"/>
        <w:spacing w:after="120" w:before="240"/>
      </w:pPr>
      <w:r>
        <w:rPr>
          <w:rFonts w:ascii="Yu Gothic" w:cs="Yu Gothic" w:eastAsia="Yu Gothic" w:hAnsi="Yu Gothic"/>
          <w:b/>
          <w:bCs/>
        </w:rPr>
        <w:t xml:space="preserve">4. 2023年版の図表（ページ画像・参照用）</w:t>
      </w:r>
    </w:p>
    <w:p>
      <w:pPr>
        <w:spacing w:after="120"/>
      </w:pPr>
      <w:r>
        <w:rPr>
          <w:rFonts w:ascii="Yu Mincho" w:cs="Yu Mincho" w:eastAsia="Yu Mincho" w:hAnsi="Yu Mincho"/>
          <w:sz w:val="21"/>
          <w:szCs w:val="21"/>
        </w:rPr>
        <w:t xml:space="preserve">2023年版 p.42</w:t>
      </w:r>
    </w:p>
    <w:p>
      <w:pPr>
        <w:jc w:val="center"/>
      </w:pPr>
      <w:r>
        <w:drawing>
          <wp:inline distT="0" distB="0" distL="0" distR="0">
            <wp:extent cx="4953000" cy="699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991350"/>
                    </a:xfrm>
                    <a:prstGeom prst="rect">
                      <a:avLst/>
                    </a:prstGeom>
                  </pic:spPr>
                </pic:pic>
              </a:graphicData>
            </a:graphic>
          </wp:inline>
        </w:drawing>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54fcceab8a9b8f717cbe7f2b58e4df9908c88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2026-09-29T14:51:02.158Z</dcterms:created>
  <dcterms:modified xsi:type="dcterms:W3CDTF">2026-09-29T14:51:02.158Z</dcterms:modified>
</cp:coreProperties>
</file>

<file path=docProps/custom.xml><?xml version="1.0" encoding="utf-8"?>
<Properties xmlns="http://schemas.openxmlformats.org/officeDocument/2006/custom-properties" xmlns:vt="http://schemas.openxmlformats.org/officeDocument/2006/docPropsVTypes"/>
</file>