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Yu Mincho" w:cs="Yu Mincho" w:eastAsia="Yu Mincho" w:hAnsi="Yu Mincho"/>
          <w:sz w:val="18"/>
          <w:szCs w:val="18"/>
        </w:rPr>
        <w:t xml:space="preserve">がん薬物療法に伴う末梢神経障害診療ガイドライン 改訂版　第2章 総論　改訂原稿</w:t>
      </w:r>
    </w:p>
    <w:p>
      <w:pPr>
        <w:pStyle w:val="Title"/>
      </w:pPr>
      <w:r>
        <w:rPr>
          <w:rFonts w:ascii="Yu Gothic" w:cs="Yu Gothic" w:eastAsia="Yu Gothic" w:hAnsi="Yu Gothic"/>
          <w:b/>
          <w:bCs/>
          <w:sz w:val="32"/>
          <w:szCs w:val="32"/>
        </w:rPr>
        <w:t xml:space="preserve">J-4. CIPNにおける看護</w:t>
      </w:r>
    </w:p>
    <w:p>
      <w:pPr>
        <w:spacing w:after="120"/>
      </w:pPr>
      <w:r>
        <w:rPr>
          <w:rFonts w:ascii="Yu Mincho" w:cs="Yu Mincho" w:eastAsia="Yu Mincho" w:hAnsi="Yu Mincho"/>
          <w:sz w:val="21"/>
          <w:szCs w:val="21"/>
        </w:rPr>
        <w:t xml:space="preserve">担当：荒尾（前回 神田）　／　2023年版 第2章 pp.45–48 の原文を起こしたもの</w:t>
      </w:r>
    </w:p>
    <w:p>
      <w:pPr>
        <w:pStyle w:val="Heading1"/>
        <w:spacing w:after="120" w:before="240"/>
      </w:pPr>
      <w:r>
        <w:rPr>
          <w:rFonts w:ascii="Yu Gothic" w:cs="Yu Gothic" w:eastAsia="Yu Gothic" w:hAnsi="Yu Gothic"/>
          <w:b/>
          <w:bCs/>
        </w:rPr>
        <w:t xml:space="preserve">1. 改訂の進め方</w:t>
      </w:r>
    </w:p>
    <w:p>
      <w:pPr>
        <w:spacing w:after="120"/>
      </w:pPr>
      <w:r>
        <w:rPr>
          <w:rFonts w:ascii="Yu Mincho" w:cs="Yu Mincho" w:eastAsia="Yu Mincho" w:hAnsi="Yu Mincho"/>
          <w:sz w:val="21"/>
          <w:szCs w:val="21"/>
        </w:rPr>
        <w:t xml:space="preserve">「3. 2023年版 原文」を直接書き換えてください（変更履歴をオンにして編集）。2023年版以降の知見の追加、図表の追加、古い記述の削除が改訂の中心です。図表は下の提案から選んでも、独自に提案しても構いません。作図は事務局で行えるので、内容（項目・数値・順序）を指定して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項目</w:t>
            </w:r>
          </w:p>
        </w:tc>
        <w:tc>
          <w:tcPr>
            <w:tcW w:type="dxa" w:w="676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記入欄（担当委員）</w:t>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改訂の要点（2023年版から何を変えるか）</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追加・更新する図表（下の提案から選ぶ／独自案）</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追加する文献（PMID）</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2023年版から削除する記述</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事務局への依頼（作図・データ収集など）</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bl>
    <w:p>
      <w:pPr>
        <w:pStyle w:val="Heading1"/>
        <w:spacing w:after="120" w:before="240"/>
      </w:pPr>
      <w:r>
        <w:rPr>
          <w:rFonts w:ascii="Yu Gothic" w:cs="Yu Gothic" w:eastAsia="Yu Gothic" w:hAnsi="Yu Gothic"/>
          <w:b/>
          <w:bCs/>
        </w:rPr>
        <w:t xml:space="preserve">2. 図表の提案（事務局案）</w:t>
      </w:r>
    </w:p>
    <w:p>
      <w:pPr>
        <w:spacing w:after="120"/>
      </w:pPr>
      <w:r>
        <w:rPr>
          <w:rFonts w:ascii="Yu Mincho" w:cs="Yu Mincho" w:eastAsia="Yu Mincho" w:hAnsi="Yu Mincho"/>
          <w:sz w:val="21"/>
          <w:szCs w:val="21"/>
        </w:rPr>
        <w:t xml:space="preserve">2023年版に既にある図表：なし</w:t>
      </w:r>
    </w:p>
    <w:p>
      <w:pPr>
        <w:pStyle w:val="ListParagraph"/>
        <w:numPr>
          <w:ilvl w:val="0"/>
          <w:numId w:val="2"/>
        </w:numPr>
        <w:spacing w:after="60"/>
      </w:pPr>
      <w:r>
        <w:rPr>
          <w:rFonts w:ascii="Yu Mincho" w:cs="Yu Mincho" w:eastAsia="Yu Mincho" w:hAnsi="Yu Mincho"/>
          <w:sz w:val="21"/>
          <w:szCs w:val="21"/>
        </w:rPr>
        <w:t xml:space="preserve">図：看護の流れ（アセスメント → 教育 → セルフモニタリング → 早期対応）のフローチャート</w:t>
      </w:r>
    </w:p>
    <w:p>
      <w:pPr>
        <w:pStyle w:val="ListParagraph"/>
        <w:numPr>
          <w:ilvl w:val="0"/>
          <w:numId w:val="2"/>
        </w:numPr>
        <w:spacing w:after="60"/>
      </w:pPr>
      <w:r>
        <w:rPr>
          <w:rFonts w:ascii="Yu Mincho" w:cs="Yu Mincho" w:eastAsia="Yu Mincho" w:hAnsi="Yu Mincho"/>
          <w:sz w:val="21"/>
          <w:szCs w:val="21"/>
        </w:rPr>
        <w:t xml:space="preserve">表：セルフケア指導チェックリスト（転倒・熱傷・凍傷予防、ボタン等の工夫、履物）</w:t>
      </w:r>
    </w:p>
    <w:p>
      <w:pPr>
        <w:pStyle w:val="ListParagraph"/>
        <w:numPr>
          <w:ilvl w:val="0"/>
          <w:numId w:val="2"/>
        </w:numPr>
        <w:spacing w:after="60"/>
      </w:pPr>
      <w:r>
        <w:rPr>
          <w:rFonts w:ascii="Yu Mincho" w:cs="Yu Mincho" w:eastAsia="Yu Mincho" w:hAnsi="Yu Mincho"/>
          <w:sz w:val="21"/>
          <w:szCs w:val="21"/>
        </w:rPr>
        <w:t xml:space="preserve">図：患者向け説明図（日常生活の注意点をイラストで。白黒線画）</w:t>
      </w:r>
    </w:p>
    <w:p>
      <w:pPr>
        <w:pStyle w:val="ListParagraph"/>
        <w:numPr>
          <w:ilvl w:val="0"/>
          <w:numId w:val="2"/>
        </w:numPr>
        <w:spacing w:after="60"/>
      </w:pPr>
      <w:r>
        <w:rPr>
          <w:rFonts w:ascii="Yu Mincho" w:cs="Yu Mincho" w:eastAsia="Yu Mincho" w:hAnsi="Yu Mincho"/>
          <w:sz w:val="21"/>
          <w:szCs w:val="21"/>
        </w:rPr>
        <w:t xml:space="preserve">表：CIPN症状日誌の書式例（PRO‑CTCAEの項目を用いたもの）</w:t>
      </w:r>
    </w:p>
    <w:p>
      <w:pPr>
        <w:pStyle w:val="ListParagraph"/>
        <w:numPr>
          <w:ilvl w:val="0"/>
          <w:numId w:val="2"/>
        </w:numPr>
        <w:spacing w:after="60"/>
      </w:pPr>
      <w:r>
        <w:rPr>
          <w:rFonts w:ascii="Yu Mincho" w:cs="Yu Mincho" w:eastAsia="Yu Mincho" w:hAnsi="Yu Mincho"/>
          <w:sz w:val="21"/>
          <w:szCs w:val="21"/>
        </w:rPr>
        <w:t xml:space="preserve">図：多職種連携の役割分担図（医師・看護師・薬剤師・リハ・栄養）</w:t>
      </w:r>
    </w:p>
    <w:p>
      <w:pPr>
        <w:pStyle w:val="Heading1"/>
        <w:spacing w:after="120" w:before="240"/>
      </w:pPr>
      <w:r>
        <w:rPr>
          <w:rFonts w:ascii="Yu Gothic" w:cs="Yu Gothic" w:eastAsia="Yu Gothic" w:hAnsi="Yu Gothic"/>
          <w:b/>
          <w:bCs/>
        </w:rPr>
        <w:t xml:space="preserve">3. 2023年版 原文</w:t>
      </w:r>
    </w:p>
    <w:p>
      <w:pPr>
        <w:pStyle w:val="Heading3"/>
        <w:spacing w:after="120" w:before="240"/>
      </w:pPr>
      <w:r>
        <w:rPr>
          <w:rFonts w:ascii="Yu Gothic" w:cs="Yu Gothic" w:eastAsia="Yu Gothic" w:hAnsi="Yu Gothic"/>
          <w:b/>
          <w:bCs/>
        </w:rPr>
        <w:t xml:space="preserve">4．CIPN における看護</w:t>
      </w:r>
    </w:p>
    <w:p>
      <w:pPr>
        <w:spacing w:after="120"/>
        <w:ind w:firstLine="210"/>
      </w:pPr>
      <w:r>
        <w:rPr>
          <w:rFonts w:ascii="Yu Mincho" w:cs="Yu Mincho" w:eastAsia="Yu Mincho" w:hAnsi="Yu Mincho"/>
          <w:sz w:val="21"/>
          <w:szCs w:val="21"/>
        </w:rPr>
        <w:t xml:space="preserve">CIPN は，炊事・衣生活，買い物など日常生活や社会生活動作に制限をもたらす1）～3）。障害が強くなると，つまづきや転倒4）のリスクも高まり，生活の安全性が脅かされる。そのため障害のアセスメントを的確に行い，必要時には医師や多職種と相談し，治療変更や支援を検討していく。また症状マネジメントや生活動作の安全確保のため，セルフケア教育を実施する。患者は悪化する症状に先のみえない不確かさを抱きやすくなるため，コントロール感覚を支援する。ここでは CIPN における看護を概説する。</w:t>
      </w:r>
    </w:p>
    <w:p>
      <w:pPr>
        <w:pStyle w:val="Heading3"/>
        <w:spacing w:after="120" w:before="240"/>
      </w:pPr>
      <w:r>
        <w:rPr>
          <w:rFonts w:ascii="Yu Gothic" w:cs="Yu Gothic" w:eastAsia="Yu Gothic" w:hAnsi="Yu Gothic"/>
          <w:b/>
          <w:bCs/>
        </w:rPr>
        <w:t xml:space="preserve">1）CIPN 症状のアセスメントと早期対応</w:t>
      </w:r>
    </w:p>
    <w:p>
      <w:pPr>
        <w:spacing w:after="120"/>
        <w:ind w:firstLine="210"/>
      </w:pPr>
      <w:r>
        <w:rPr>
          <w:rFonts w:ascii="Yu Mincho" w:cs="Yu Mincho" w:eastAsia="Yu Mincho" w:hAnsi="Yu Mincho"/>
          <w:sz w:val="21"/>
          <w:szCs w:val="21"/>
        </w:rPr>
        <w:t xml:space="preserve">症状の把握と影響要因のアセスメント薬物投与前の身体状況・日常生活動作をベースラインとして，治療ごとの変化を把握する。</w:t>
      </w:r>
    </w:p>
    <w:p>
      <w:pPr>
        <w:spacing w:after="120"/>
        <w:ind w:firstLine="210"/>
      </w:pPr>
      <w:r>
        <w:rPr>
          <w:rFonts w:ascii="Yu Mincho" w:cs="Yu Mincho" w:eastAsia="Yu Mincho" w:hAnsi="Yu Mincho"/>
          <w:sz w:val="21"/>
          <w:szCs w:val="21"/>
        </w:rPr>
        <w:t xml:space="preserve">CIPN では，主として感覚神経障害，運動神経障害および自律神経障害が出現する。前述の記載のように，使用薬剤により徴候や症状に違いを生じるため，特徴を踏まえた観察が必要である。糖尿病，栄養不足，飲酒や肥満が CIPN の発症リスクを高めるので注意深く観察する。感覚障害は，「ヒリヒリ，ジーンジンジン，電気が走る，足の裏に常に何か張り付いている感じ」など患者により表現が違うため，症状を見逃さないことが重要である。</w:t>
      </w:r>
    </w:p>
    <w:p>
      <w:pPr>
        <w:spacing w:after="120"/>
        <w:ind w:firstLine="210"/>
      </w:pPr>
      <w:r>
        <w:rPr>
          <w:rFonts w:ascii="Yu Mincho" w:cs="Yu Mincho" w:eastAsia="Yu Mincho" w:hAnsi="Yu Mincho"/>
          <w:sz w:val="21"/>
          <w:szCs w:val="21"/>
        </w:rPr>
        <w:t xml:space="preserve">CIPN の評価用具は客観的なものと主観的なものがあるが，普遍的な合意に基づく一般的な用具はない5）</w:t>
      </w:r>
      <w:r>
        <w:rPr>
          <w:rFonts w:ascii="Yu Mincho" w:cs="Yu Mincho" w:eastAsia="Yu Mincho" w:hAnsi="Yu Mincho"/>
          <w:sz w:val="21"/>
          <w:szCs w:val="21"/>
          <w:vertAlign w:val="superscript"/>
        </w:rPr>
        <w:t xml:space="preserve">6)</w:t>
      </w:r>
      <w:r>
        <w:rPr>
          <w:rFonts w:ascii="Yu Mincho" w:cs="Yu Mincho" w:eastAsia="Yu Mincho" w:hAnsi="Yu Mincho"/>
          <w:sz w:val="21"/>
          <w:szCs w:val="21"/>
        </w:rPr>
        <w:t xml:space="preserve">。Haryani らは 1980～2015 年の間に発表されたツールについてシステマティックレビューを実施し，2 つの用具，FACT／GOG—Ntx と TNS を推奨した5）。日本では，この 2 つと日本語版の CTCAE，PNQ が使用されている。臨床では CTCAE v5.0 がよく使用される。その評価の実施者は施設により医師，薬剤師，看護師と異なっている。中程度と高度の症状の違いを厳密に判断できない，医療者の評価と患者の主観的評価では，医療者が患総論章者より過少に評価しやすい課題が挙げられている7）。</w:t>
      </w:r>
    </w:p>
    <w:p>
      <w:pPr>
        <w:spacing w:after="120"/>
        <w:ind w:firstLine="210"/>
      </w:pPr>
      <w:r>
        <w:rPr>
          <w:rFonts w:ascii="Yu Mincho" w:cs="Yu Mincho" w:eastAsia="Yu Mincho" w:hAnsi="Yu Mincho"/>
          <w:sz w:val="21"/>
          <w:szCs w:val="21"/>
        </w:rPr>
        <w:t xml:space="preserve">看護師は CIPN の部位，持続時間，特性および生活への支障や影響について聴取し，この情報を医療チームと共有する。</w:t>
      </w:r>
    </w:p>
    <w:p>
      <w:pPr>
        <w:spacing w:after="120"/>
        <w:ind w:firstLine="210"/>
      </w:pPr>
      <w:r>
        <w:rPr>
          <w:rFonts w:ascii="Yu Mincho" w:cs="Yu Mincho" w:eastAsia="Yu Mincho" w:hAnsi="Yu Mincho"/>
          <w:sz w:val="21"/>
          <w:szCs w:val="21"/>
        </w:rPr>
        <w:t xml:space="preserve">生活動作の支障時における早期対応IADL には，食事の準備，日用品や衣服の買い物，電話の使用，金銭の管理などが含まれ，これらに支障がある場合は Grade 2 と判断される。このときは，症状緩和とともにチームでアプローチを検討する。</w:t>
      </w:r>
    </w:p>
    <w:p>
      <w:pPr>
        <w:spacing w:after="120"/>
        <w:ind w:firstLine="210"/>
      </w:pPr>
      <w:r>
        <w:rPr>
          <w:rFonts w:ascii="Yu Mincho" w:cs="Yu Mincho" w:eastAsia="Yu Mincho" w:hAnsi="Yu Mincho"/>
          <w:sz w:val="21"/>
          <w:szCs w:val="21"/>
        </w:rPr>
        <w:t xml:space="preserve">また，入浴，着衣・脱衣，食事の摂取，トイレの使用，薬の内服など身の回りの日常生活動作（Self—Care ADL）に支障がある場合は Grade 3 と判断する。医師に報告し，治療の継続や変更・中止について，患者の意向と価値観などを考慮して検討する。</w:t>
      </w:r>
    </w:p>
    <w:p>
      <w:pPr>
        <w:spacing w:after="120"/>
        <w:ind w:firstLine="210"/>
      </w:pPr>
      <w:r>
        <w:rPr>
          <w:rFonts w:ascii="Yu Mincho" w:cs="Yu Mincho" w:eastAsia="Yu Mincho" w:hAnsi="Yu Mincho"/>
          <w:sz w:val="21"/>
          <w:szCs w:val="21"/>
        </w:rPr>
        <w:t xml:space="preserve">医療者と患者評価の乖離をなくすNyrop らは，早期乳がん患者と臨床医における CIPN の重症度を調査した8）。CIPN の重症度には両者の間で乖離があり，患者が重症であると認識しているほど不一致が増え，医師のほうが重症度を軽く評価していた。患者は治療薬剤の減量や休薬，中止を恐れると重症度をより軽いように報告し，理解不足や評価の具体例がわかりにくい時には，医療者との間で乖離が生じる。乖離をなくすには，患者の心理を理解するとともに，日常的に患者との関係性を構築し，話しやすいコミュニケーションに努めることが必要である。また，患者の主観的アウトカム（Patient—reported outcomes；PRO）が医療者の CTCAE 評価を補完できるという報告もある9）。そのため，NRS，VAS, FACT／GOG—Ntx や QOL など，ほかの尺度との併用が推奨されている7）。日本において包括的なアプローチを目指す観点から開発された「がんサバイバーの化学療法に関連する末梢神経障害の包括的評価尺度」がある10）。治療の過程を通じて，患者との話し合いによる看護師のアセスメントは早期の対処を促進し，影響を最小限に抑えることができる1）。</w:t>
      </w:r>
    </w:p>
    <w:p>
      <w:pPr>
        <w:pStyle w:val="Heading3"/>
        <w:spacing w:after="120" w:before="240"/>
      </w:pPr>
      <w:r>
        <w:rPr>
          <w:rFonts w:ascii="Yu Gothic" w:cs="Yu Gothic" w:eastAsia="Yu Gothic" w:hAnsi="Yu Gothic"/>
          <w:b/>
          <w:bCs/>
        </w:rPr>
        <w:t xml:space="preserve">2）セルフケア教育と行動介入</w:t>
      </w:r>
    </w:p>
    <w:p>
      <w:pPr>
        <w:spacing w:after="120"/>
        <w:ind w:firstLine="210"/>
      </w:pPr>
      <w:r>
        <w:rPr>
          <w:rFonts w:ascii="Yu Mincho" w:cs="Yu Mincho" w:eastAsia="Yu Mincho" w:hAnsi="Yu Mincho"/>
          <w:sz w:val="21"/>
          <w:szCs w:val="21"/>
        </w:rPr>
        <w:t xml:space="preserve">Kolb らは，乳房，卵巣，肺がんでタキサン系製剤や白金製剤を使用している 116 名の転倒を調査した4）。CIPN 症状を有する者は，有しない者よりも転倒または転倒の危険が 3 倍近く高いことを報告している。また，手の感覚を失うと熱い温度や鋭利な包丁などでけがをする危険がある1）。患者が症状を悪化させず，危険行動を回避できるよう ① 使用する薬剤と末梢神経障害に関する知識，② 転倒・やけど予防，冷感刺激を避ける生活行動と対処，③ 症状のセルフチェックと医療者への報告について，セルフケア教育を実施する。家庭環境や職場環境を把握し，個別性のある指導や教育が必要となる。</w:t>
      </w:r>
    </w:p>
    <w:p>
      <w:pPr>
        <w:spacing w:after="120"/>
        <w:ind w:firstLine="210"/>
      </w:pPr>
      <w:r>
        <w:rPr>
          <w:rFonts w:ascii="Yu Mincho" w:cs="Yu Mincho" w:eastAsia="Yu Mincho" w:hAnsi="Yu Mincho"/>
          <w:sz w:val="21"/>
          <w:szCs w:val="21"/>
        </w:rPr>
        <w:t xml:space="preserve">看護に関連する行動と運動介入のシステマティックレビュー11）のうち，他項では扱っていない行動介入のレビューを紹介する。行動介入としては，行動，認知，態度および／または感情の変化に焦点を当てた無作為化比較試験または準実験的研究が選択された。最終的に 6 研究，7 行動介入が評価された。すべての介入には，CIPN と管理に関する教育の要素が含まれ，CIPN，安全性および管理に関する患者の知識を高めることや安全関連セルフケアのコーチング，症状に関する医療ケアチームとのコミュニケーションなどが提供された。結果としていくつかの研究では，痛み12）やうつスコアの低下および身体機能の低下13）を抑えることが示された。自動電話を含む行動介入は，患者の CIPN 知識を高め，自己管理能力を向上させるなどの潜在的な効果がある可能性が示された。しかし，結論づけるにはより多くの研究が必要であることが示唆された。</w:t>
      </w:r>
    </w:p>
    <w:p>
      <w:pPr>
        <w:pStyle w:val="Heading3"/>
        <w:spacing w:after="120" w:before="240"/>
      </w:pPr>
      <w:r>
        <w:rPr>
          <w:rFonts w:ascii="Yu Gothic" w:cs="Yu Gothic" w:eastAsia="Yu Gothic" w:hAnsi="Yu Gothic"/>
          <w:b/>
          <w:bCs/>
        </w:rPr>
        <w:t xml:space="preserve">3）コントロール感覚を支援する</w:t>
      </w:r>
    </w:p>
    <w:p>
      <w:pPr>
        <w:spacing w:after="120"/>
        <w:ind w:firstLine="210"/>
      </w:pPr>
      <w:r>
        <w:rPr>
          <w:rFonts w:ascii="Yu Mincho" w:cs="Yu Mincho" w:eastAsia="Yu Mincho" w:hAnsi="Yu Mincho"/>
          <w:sz w:val="21"/>
          <w:szCs w:val="21"/>
        </w:rPr>
        <w:t xml:space="preserve">QOL は今ある生の質（価値観や生きがい）も含めた患者の認知（主観）の評価である。末梢神経障害は主観的感覚の症状であり，体験での語りは対象理解に不可欠である。CIPN の体験者を対象とした質的研究の情緒的反応では，「これまでに経験したことがない未知の感覚」として認識し，マネジメントできない恐怖，無力感，狼狽などの不快感情を伴っていた14）。</w:t>
      </w:r>
    </w:p>
    <w:p>
      <w:pPr>
        <w:spacing w:after="120"/>
        <w:ind w:firstLine="210"/>
      </w:pPr>
      <w:r>
        <w:rPr>
          <w:rFonts w:ascii="Yu Mincho" w:cs="Yu Mincho" w:eastAsia="Yu Mincho" w:hAnsi="Yu Mincho"/>
          <w:sz w:val="21"/>
          <w:szCs w:val="21"/>
        </w:rPr>
        <w:t xml:space="preserve">CIPN を有する患者の経験の質的統合研究でも，漠然とした症状や情報の不足から症状を過少報告していること，症状は精神的苦痛や社会役割制限をもたらし，QOL に影響があることや医療者のその症状への優先度が低いと感じている現状が浮き彫りにされている13）。そして，薬剤の減量や中止の決定への困難や，試行錯誤しながら症状の自己管理をしようとするコントロール感覚の喪失がうかがわれた。</w:t>
      </w:r>
    </w:p>
    <w:p>
      <w:pPr>
        <w:spacing w:after="120"/>
        <w:ind w:firstLine="210"/>
      </w:pPr>
      <w:r>
        <w:rPr>
          <w:rFonts w:ascii="Yu Mincho" w:cs="Yu Mincho" w:eastAsia="Yu Mincho" w:hAnsi="Yu Mincho"/>
          <w:sz w:val="21"/>
          <w:szCs w:val="21"/>
        </w:rPr>
        <w:t xml:space="preserve">また，慢性 CIPN を体験する 20 名の語りから表出された苦痛は，記録数 336 単位と多く，そのうち身体的苦痛 40.3％，社会的苦痛 32.4％，精神的苦痛 21.5％であった。スピリチュアルペインは 6.0％で割合は少なかったが，形成された 2 カテゴリは「しびれによる機能障害により自分の価値を見失う」「しびれにより家族内の自己の存在価値が脅かされる」であり，自らの存在価値が揺るがされる経験であった15）。</w:t>
      </w:r>
    </w:p>
    <w:p>
      <w:pPr>
        <w:spacing w:after="120"/>
        <w:ind w:firstLine="210"/>
      </w:pPr>
      <w:r>
        <w:rPr>
          <w:rFonts w:ascii="Yu Mincho" w:cs="Yu Mincho" w:eastAsia="Yu Mincho" w:hAnsi="Yu Mincho"/>
          <w:sz w:val="21"/>
          <w:szCs w:val="21"/>
        </w:rPr>
        <w:t xml:space="preserve">質的研究から症状は QOL の低下や全人的な苦痛を引き起こし，症状マネジメントの難しさから，コントロール感覚を喪失する経験であることが明確になった。このことから症状に関する詳細な情報提供やボタンのない服の選択，ウォーキングシューズの着用など，実践的なアドバイスが必要であることがうかがえた。また，治療中断など困難な意思決定には揺れ動く心理が働くことを理解し，寄り添い支持することが必要である。</w:t>
      </w:r>
    </w:p>
    <w:p>
      <w:pPr>
        <w:spacing w:after="120"/>
        <w:ind w:firstLine="210"/>
      </w:pPr>
      <w:r>
        <w:rPr>
          <w:rFonts w:ascii="Yu Mincho" w:cs="Yu Mincho" w:eastAsia="Yu Mincho" w:hAnsi="Yu Mincho"/>
          <w:sz w:val="21"/>
          <w:szCs w:val="21"/>
        </w:rPr>
        <w:t xml:space="preserve">今後，さらに質的研究や介入研究を重ね，エビデンスを基盤にしたよりよい看護支援を展開することが求められる。</w:t>
      </w:r>
    </w:p>
    <w:p>
      <w:pPr>
        <w:spacing w:after="120"/>
        <w:ind w:firstLine="210"/>
      </w:pPr>
      <w:r>
        <w:rPr>
          <w:rFonts w:ascii="Yu Mincho" w:cs="Yu Mincho" w:eastAsia="Yu Mincho" w:hAnsi="Yu Mincho"/>
          <w:sz w:val="21"/>
          <w:szCs w:val="21"/>
        </w:rPr>
        <w:t xml:space="preserve">（神田 清子）</w:t>
      </w:r>
    </w:p>
    <w:p>
      <w:pPr>
        <w:pStyle w:val="Heading2"/>
        <w:spacing w:after="120" w:before="240"/>
      </w:pPr>
      <w:r>
        <w:rPr>
          <w:rFonts w:ascii="Yu Gothic" w:cs="Yu Gothic" w:eastAsia="Yu Gothic" w:hAnsi="Yu Gothic"/>
          <w:b/>
          <w:bCs/>
        </w:rPr>
        <w:t xml:space="preserve">文献（2023年版）</w:t>
      </w:r>
    </w:p>
    <w:p>
      <w:pPr>
        <w:spacing w:after="120"/>
        <w:ind w:firstLine="210"/>
      </w:pPr>
      <w:r>
        <w:rPr>
          <w:rFonts w:ascii="Yu Mincho" w:cs="Yu Mincho" w:eastAsia="Yu Mincho" w:hAnsi="Yu Mincho"/>
          <w:sz w:val="21"/>
          <w:szCs w:val="21"/>
          <w:vertAlign w:val="superscript"/>
        </w:rPr>
        <w:t xml:space="preserve">1)</w:t>
      </w:r>
      <w:r>
        <w:rPr>
          <w:rFonts w:ascii="Yu Mincho" w:cs="Yu Mincho" w:eastAsia="Yu Mincho" w:hAnsi="Yu Mincho"/>
          <w:sz w:val="21"/>
          <w:szCs w:val="21"/>
        </w:rPr>
        <w:t xml:space="preserve">Knoerl R. CE： Chemotherapy—Induced Peripheral Neuropathy. Am J Nurs. 2021； 121： 26—30.［PMID：33735114］</w:t>
      </w:r>
      <w:r>
        <w:rPr>
          <w:rFonts w:ascii="Yu Mincho" w:cs="Yu Mincho" w:eastAsia="Yu Mincho" w:hAnsi="Yu Mincho"/>
          <w:sz w:val="21"/>
          <w:szCs w:val="21"/>
          <w:vertAlign w:val="superscript"/>
        </w:rPr>
        <w:t xml:space="preserve">2)</w:t>
      </w:r>
      <w:r>
        <w:rPr>
          <w:rFonts w:ascii="Yu Mincho" w:cs="Yu Mincho" w:eastAsia="Yu Mincho" w:hAnsi="Yu Mincho"/>
          <w:sz w:val="21"/>
          <w:szCs w:val="21"/>
        </w:rPr>
        <w:t xml:space="preserve">Loprinzi CL, Lacchetti C, Bleeker J, et al. Prevention and Management of Chemotherapy—Induced Peripheral Neuropathy in Survivors of Adult Cancers： ASCO Guideline Update. J Clin Oncol. 2020； 38：3325—48.［PMID： 32663120］</w:t>
      </w:r>
      <w:r>
        <w:rPr>
          <w:rFonts w:ascii="Yu Mincho" w:cs="Yu Mincho" w:eastAsia="Yu Mincho" w:hAnsi="Yu Mincho"/>
          <w:sz w:val="21"/>
          <w:szCs w:val="21"/>
          <w:vertAlign w:val="superscript"/>
        </w:rPr>
        <w:t xml:space="preserve">3)</w:t>
      </w:r>
      <w:r>
        <w:rPr>
          <w:rFonts w:ascii="Yu Mincho" w:cs="Yu Mincho" w:eastAsia="Yu Mincho" w:hAnsi="Yu Mincho"/>
          <w:sz w:val="21"/>
          <w:szCs w:val="21"/>
        </w:rPr>
        <w:t xml:space="preserve">Seretny M, Currie GL, Sena ES, et al. Incidence, prevalence, and predictors of chemotherapy—induced peripheral neuropathy： A systematic review and meta—analysis. Pain. 2014； 155： 2461—70.［PMID：25261162］</w:t>
      </w:r>
      <w:r>
        <w:rPr>
          <w:rFonts w:ascii="Yu Mincho" w:cs="Yu Mincho" w:eastAsia="Yu Mincho" w:hAnsi="Yu Mincho"/>
          <w:sz w:val="21"/>
          <w:szCs w:val="21"/>
          <w:vertAlign w:val="superscript"/>
        </w:rPr>
        <w:t xml:space="preserve">4)</w:t>
      </w:r>
      <w:r>
        <w:rPr>
          <w:rFonts w:ascii="Yu Mincho" w:cs="Yu Mincho" w:eastAsia="Yu Mincho" w:hAnsi="Yu Mincho"/>
          <w:sz w:val="21"/>
          <w:szCs w:val="21"/>
        </w:rPr>
        <w:t xml:space="preserve">Kolb NA, Smith AG, Singleton JR, et al. The Association of Chemotherapy—Induced Peripheral Neu-ropathy Symptoms and the Risk of Falling. JAMA Neurol. 2016； 73： 860—6.［PMID： 27183099］</w:t>
      </w:r>
      <w:r>
        <w:rPr>
          <w:rFonts w:ascii="Yu Mincho" w:cs="Yu Mincho" w:eastAsia="Yu Mincho" w:hAnsi="Yu Mincho"/>
          <w:sz w:val="21"/>
          <w:szCs w:val="21"/>
          <w:vertAlign w:val="superscript"/>
        </w:rPr>
        <w:t xml:space="preserve">5)</w:t>
      </w:r>
      <w:r>
        <w:rPr>
          <w:rFonts w:ascii="Yu Mincho" w:cs="Yu Mincho" w:eastAsia="Yu Mincho" w:hAnsi="Yu Mincho"/>
          <w:sz w:val="21"/>
          <w:szCs w:val="21"/>
        </w:rPr>
        <w:t xml:space="preserve">Haryani H, Fetzer SJ, Wu CL, et al. Chemotherapy—Induced Peripheral Neuropathy Assessment Tools：A Systematic Review. Oncol Nurs Forum. 2017； 44： E111—23.［PMID： 28635977］</w:t>
      </w:r>
      <w:r>
        <w:rPr>
          <w:rFonts w:ascii="Yu Mincho" w:cs="Yu Mincho" w:eastAsia="Yu Mincho" w:hAnsi="Yu Mincho"/>
          <w:sz w:val="21"/>
          <w:szCs w:val="21"/>
          <w:vertAlign w:val="superscript"/>
        </w:rPr>
        <w:t xml:space="preserve">6)</w:t>
      </w:r>
      <w:r>
        <w:rPr>
          <w:rFonts w:ascii="Yu Mincho" w:cs="Yu Mincho" w:eastAsia="Yu Mincho" w:hAnsi="Yu Mincho"/>
          <w:sz w:val="21"/>
          <w:szCs w:val="21"/>
        </w:rPr>
        <w:t xml:space="preserve">Curcio KR. Instruments for Assessing Chemotherapy—Induced Peripheral Neuropathy： A Review of the Literature. Clin J Oncol Nurs. 2016； 20： 144—51.［PMID： 26991707］</w:t>
      </w:r>
      <w:r>
        <w:rPr>
          <w:rFonts w:ascii="Yu Mincho" w:cs="Yu Mincho" w:eastAsia="Yu Mincho" w:hAnsi="Yu Mincho"/>
          <w:sz w:val="21"/>
          <w:szCs w:val="21"/>
          <w:vertAlign w:val="superscript"/>
        </w:rPr>
        <w:t xml:space="preserve">7)</w:t>
      </w:r>
      <w:r>
        <w:rPr>
          <w:rFonts w:ascii="Yu Mincho" w:cs="Yu Mincho" w:eastAsia="Yu Mincho" w:hAnsi="Yu Mincho"/>
          <w:sz w:val="21"/>
          <w:szCs w:val="21"/>
        </w:rPr>
        <w:t xml:space="preserve">Postma TJ, Heimans JJ. Grading of chemotherapy—induced peripheral neuropathy. Ann Oncol. 2000； 11：509—13.［PMID： 10907941］総論章</w:t>
      </w:r>
      <w:r>
        <w:rPr>
          <w:rFonts w:ascii="Yu Mincho" w:cs="Yu Mincho" w:eastAsia="Yu Mincho" w:hAnsi="Yu Mincho"/>
          <w:sz w:val="21"/>
          <w:szCs w:val="21"/>
          <w:vertAlign w:val="superscript"/>
        </w:rPr>
        <w:t xml:space="preserve">8)</w:t>
      </w:r>
      <w:r>
        <w:rPr>
          <w:rFonts w:ascii="Yu Mincho" w:cs="Yu Mincho" w:eastAsia="Yu Mincho" w:hAnsi="Yu Mincho"/>
          <w:sz w:val="21"/>
          <w:szCs w:val="21"/>
        </w:rPr>
        <w:t xml:space="preserve">Nyrop KA, Deal AM, Reeder—Hayes KE, et al. Patient—reported and clinician—reported chemotherapy—induced peripheral neuropathy in patients with early breast cancer： Current clinical practice. Cancer.2019； 125： 2945—54.［PMID： 31090930］</w:t>
      </w:r>
      <w:r>
        <w:rPr>
          <w:rFonts w:ascii="Yu Mincho" w:cs="Yu Mincho" w:eastAsia="Yu Mincho" w:hAnsi="Yu Mincho"/>
          <w:sz w:val="21"/>
          <w:szCs w:val="21"/>
          <w:vertAlign w:val="superscript"/>
        </w:rPr>
        <w:t xml:space="preserve">9)</w:t>
      </w:r>
      <w:r>
        <w:rPr>
          <w:rFonts w:ascii="Yu Mincho" w:cs="Yu Mincho" w:eastAsia="Yu Mincho" w:hAnsi="Yu Mincho"/>
          <w:sz w:val="21"/>
          <w:szCs w:val="21"/>
        </w:rPr>
        <w:t xml:space="preserve">Tan AC, McCrary JM, Park SB, et al. Chemotherapy—induced peripheral neuropathy—patient—reported outcomes compared with NCI—CTCAE grade. Support Care Cancer. 2019； 27： 4771—7.［PMID：30972648］</w:t>
      </w:r>
      <w:r>
        <w:rPr>
          <w:rFonts w:ascii="Yu Mincho" w:cs="Yu Mincho" w:eastAsia="Yu Mincho" w:hAnsi="Yu Mincho"/>
          <w:sz w:val="21"/>
          <w:szCs w:val="21"/>
          <w:vertAlign w:val="superscript"/>
        </w:rPr>
        <w:t xml:space="preserve">10)</w:t>
      </w:r>
      <w:r>
        <w:rPr>
          <w:rFonts w:ascii="Yu Mincho" w:cs="Yu Mincho" w:eastAsia="Yu Mincho" w:hAnsi="Yu Mincho"/>
          <w:sz w:val="21"/>
          <w:szCs w:val="21"/>
        </w:rPr>
        <w:t xml:space="preserve">Kanda K, Fujimoto K, Mochizuki R, et al. Development and validation of the comprehensive assessment scale for chemotherapy—induced peripheral neuropathy in survivors of cancer. BMC Cancer. 2019； 19：904.［PMID： 31506070］</w:t>
      </w:r>
      <w:r>
        <w:rPr>
          <w:rFonts w:ascii="Yu Mincho" w:cs="Yu Mincho" w:eastAsia="Yu Mincho" w:hAnsi="Yu Mincho"/>
          <w:sz w:val="21"/>
          <w:szCs w:val="21"/>
          <w:vertAlign w:val="superscript"/>
        </w:rPr>
        <w:t xml:space="preserve">11)</w:t>
      </w:r>
      <w:r>
        <w:rPr>
          <w:rFonts w:ascii="Yu Mincho" w:cs="Yu Mincho" w:eastAsia="Yu Mincho" w:hAnsi="Yu Mincho"/>
          <w:sz w:val="21"/>
          <w:szCs w:val="21"/>
        </w:rPr>
        <w:t xml:space="preserve">Tanay MAL, Armes J, Moss—Morris R, et al. A systematic review of behavioural and exercise interven-tions for the prevention and management of chemotherapy—induced peripheral neuropathy symptoms.J Cancer Surviv. 2023； 17： 254—77.［PMID： 33710510］</w:t>
      </w:r>
      <w:r>
        <w:rPr>
          <w:rFonts w:ascii="Yu Mincho" w:cs="Yu Mincho" w:eastAsia="Yu Mincho" w:hAnsi="Yu Mincho"/>
          <w:sz w:val="21"/>
          <w:szCs w:val="21"/>
          <w:vertAlign w:val="superscript"/>
        </w:rPr>
        <w:t xml:space="preserve">12)</w:t>
      </w:r>
      <w:r>
        <w:rPr>
          <w:rFonts w:ascii="Yu Mincho" w:cs="Yu Mincho" w:eastAsia="Yu Mincho" w:hAnsi="Yu Mincho"/>
          <w:sz w:val="21"/>
          <w:szCs w:val="21"/>
        </w:rPr>
        <w:t xml:space="preserve">Knoerl R, Smith EML, Barton DL, et al. Self—Guided Online Cognitive Behavioral Strategies for Chemo-therapy—Induced Peripheral Neuropathy： A Multicenter, Pilot, Randomized, Wait—List Controlled Trial. J Pain. 2018； 19： 382—94.［PMID： 29229430］</w:t>
      </w:r>
      <w:r>
        <w:rPr>
          <w:rFonts w:ascii="Yu Mincho" w:cs="Yu Mincho" w:eastAsia="Yu Mincho" w:hAnsi="Yu Mincho"/>
          <w:sz w:val="21"/>
          <w:szCs w:val="21"/>
          <w:vertAlign w:val="superscript"/>
        </w:rPr>
        <w:t xml:space="preserve">13)</w:t>
      </w:r>
      <w:r>
        <w:rPr>
          <w:rFonts w:ascii="Yu Mincho" w:cs="Yu Mincho" w:eastAsia="Yu Mincho" w:hAnsi="Yu Mincho"/>
          <w:sz w:val="21"/>
          <w:szCs w:val="21"/>
        </w:rPr>
        <w:t xml:space="preserve">Knoerl R, Weller E, Halpenny B, et al. Exploring the efficacy of an electronic symptom assessment and self—care intervention to preserve physical function in individuals receiving neurotoxic chemotherapy.BMC Cancer. 2018； 18（1）： 1203. Erratum in： BMC Cancer. 2019； 19（1）： 438.［PMID： 30514351］</w:t>
      </w:r>
      <w:r>
        <w:rPr>
          <w:rFonts w:ascii="Yu Mincho" w:cs="Yu Mincho" w:eastAsia="Yu Mincho" w:hAnsi="Yu Mincho"/>
          <w:sz w:val="21"/>
          <w:szCs w:val="21"/>
          <w:vertAlign w:val="superscript"/>
        </w:rPr>
        <w:t xml:space="preserve">14)</w:t>
      </w:r>
      <w:r>
        <w:rPr>
          <w:rFonts w:ascii="Yu Mincho" w:cs="Yu Mincho" w:eastAsia="Yu Mincho" w:hAnsi="Yu Mincho"/>
          <w:sz w:val="21"/>
          <w:szCs w:val="21"/>
        </w:rPr>
        <w:t xml:space="preserve">Kanda K, Fujimoto K, Kyota A. Emotional Responses to Persistent Chemotherapy—induced Peripheral Neuropathy Experienced by Patients with Colorectal Cancer in Japan. Asia Pac J Oncol Nurs. 2017； 4：233—40.［PMID： 28695170］</w:t>
      </w:r>
      <w:r>
        <w:rPr>
          <w:rFonts w:ascii="Yu Mincho" w:cs="Yu Mincho" w:eastAsia="Yu Mincho" w:hAnsi="Yu Mincho"/>
          <w:sz w:val="21"/>
          <w:szCs w:val="21"/>
          <w:vertAlign w:val="superscript"/>
        </w:rPr>
        <w:t xml:space="preserve">15)</w:t>
      </w:r>
      <w:r>
        <w:rPr>
          <w:rFonts w:ascii="Yu Mincho" w:cs="Yu Mincho" w:eastAsia="Yu Mincho" w:hAnsi="Yu Mincho"/>
          <w:sz w:val="21"/>
          <w:szCs w:val="21"/>
        </w:rPr>
        <w:t xml:space="preserve">Kyota A, Kanda K, Honda M, et al. Spiritual pain from persistent chemotherapy—induced peripheral neuropathy in colon cancer patients in Japan. Ann Cancer Res. 2017； 3： 1—5.</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2026-09-29T14:51:02.175Z</dcterms:created>
  <dcterms:modified xsi:type="dcterms:W3CDTF">2026-09-29T14:51:02.175Z</dcterms:modified>
</cp:coreProperties>
</file>

<file path=docProps/custom.xml><?xml version="1.0" encoding="utf-8"?>
<Properties xmlns="http://schemas.openxmlformats.org/officeDocument/2006/custom-properties" xmlns:vt="http://schemas.openxmlformats.org/officeDocument/2006/docPropsVTypes"/>
</file>