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K. ASCO および ESMO‒EONS‒EANO CIPNガイドラインの紹介</w:t>
      </w:r>
    </w:p>
    <w:p>
      <w:pPr>
        <w:spacing w:after="120"/>
      </w:pPr>
      <w:r>
        <w:rPr>
          <w:rFonts w:ascii="Yu Mincho" w:cs="Yu Mincho" w:eastAsia="Yu Mincho" w:hAnsi="Yu Mincho"/>
          <w:sz w:val="21"/>
          <w:szCs w:val="21"/>
        </w:rPr>
        <w:t xml:space="preserve">担当：（未定：2023年版執筆者）　／　2023年版 第2章 pp.51–52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表：ASCO 2020／ESMO‑EONS‑EANO 2020／本GL 2023年版／本改訂版 の推奨比較（介入ごと）※作業一式の「既存GL比較」シートから自動生成可能</w:t>
      </w:r>
    </w:p>
    <w:p>
      <w:pPr>
        <w:pStyle w:val="ListParagraph"/>
        <w:numPr>
          <w:ilvl w:val="0"/>
          <w:numId w:val="2"/>
        </w:numPr>
        <w:spacing w:after="60"/>
      </w:pPr>
      <w:r>
        <w:rPr>
          <w:rFonts w:ascii="Yu Mincho" w:cs="Yu Mincho" w:eastAsia="Yu Mincho" w:hAnsi="Yu Mincho"/>
          <w:sz w:val="21"/>
          <w:szCs w:val="21"/>
        </w:rPr>
        <w:t xml:space="preserve">図：3ガイドラインの作成方法の違い（対象・検索期間・エビデンス評価法）の対比図</w:t>
      </w:r>
    </w:p>
    <w:p>
      <w:pPr>
        <w:pStyle w:val="ListParagraph"/>
        <w:numPr>
          <w:ilvl w:val="0"/>
          <w:numId w:val="2"/>
        </w:numPr>
        <w:spacing w:after="60"/>
      </w:pPr>
      <w:r>
        <w:rPr>
          <w:rFonts w:ascii="Yu Mincho" w:cs="Yu Mincho" w:eastAsia="Yu Mincho" w:hAnsi="Yu Mincho"/>
          <w:sz w:val="21"/>
          <w:szCs w:val="21"/>
        </w:rPr>
        <w:t xml:space="preserve">表：海外GL公表後に出た主要RCTと、それが推奨に与える影響</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K 米国臨床腫瘍学会および欧州臨床腫瘍学会—欧州腫瘍</w:t>
      </w:r>
    </w:p>
    <w:p>
      <w:pPr>
        <w:spacing w:after="120"/>
        <w:ind w:firstLine="210"/>
      </w:pPr>
      <w:r>
        <w:rPr>
          <w:rFonts w:ascii="Yu Mincho" w:cs="Yu Mincho" w:eastAsia="Yu Mincho" w:hAnsi="Yu Mincho"/>
          <w:sz w:val="21"/>
          <w:szCs w:val="21"/>
        </w:rPr>
        <w:t xml:space="preserve">看護学会—欧州腫瘍神経学会 CIPN ガイドラインの紹介米国臨床腫瘍学会（ASCO），欧州臨床腫瘍学会—欧州腫瘍看護学会—欧州腫瘍神経学会（ESMO—EONS—EANO）の CIPN ガイドラインを紹介する1）</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。ここではわが国であまり投与されない薬剤やわが国でなじみのない理学的手法に関する記載は割愛した。</w:t>
      </w:r>
    </w:p>
    <w:p>
      <w:pPr>
        <w:pStyle w:val="Heading3"/>
        <w:spacing w:after="120" w:before="240"/>
      </w:pPr>
      <w:r>
        <w:rPr>
          <w:rFonts w:ascii="Yu Gothic" w:cs="Yu Gothic" w:eastAsia="Yu Gothic" w:hAnsi="Yu Gothic"/>
          <w:b/>
          <w:bCs/>
        </w:rPr>
        <w:t xml:space="preserve">1．ASCO ガイドラインの要約</w:t>
      </w:r>
    </w:p>
    <w:p>
      <w:pPr>
        <w:spacing w:after="120"/>
        <w:ind w:firstLine="210"/>
      </w:pPr>
      <w:r>
        <w:rPr>
          <w:rFonts w:ascii="Yu Mincho" w:cs="Yu Mincho" w:eastAsia="Yu Mincho" w:hAnsi="Yu Mincho"/>
          <w:sz w:val="21"/>
          <w:szCs w:val="21"/>
        </w:rPr>
        <w:t xml:space="preserve">ASCO は成人がんサバイバーにおける CIPN のマネジメントの update を公表した1）。</w:t>
      </w:r>
    </w:p>
    <w:p>
      <w:pPr>
        <w:spacing w:after="120"/>
        <w:ind w:firstLine="210"/>
      </w:pPr>
      <w:r>
        <w:rPr>
          <w:rFonts w:ascii="Yu Mincho" w:cs="Yu Mincho" w:eastAsia="Yu Mincho" w:hAnsi="Yu Mincho"/>
          <w:sz w:val="21"/>
          <w:szCs w:val="21"/>
        </w:rPr>
        <w:t xml:space="preserve">予防・アセチル—L—カルニチンは害が益を上回るため予防目的に投与してはいけない。</w:t>
      </w:r>
    </w:p>
    <w:p>
      <w:pPr>
        <w:spacing w:after="120"/>
        <w:ind w:firstLine="210"/>
      </w:pPr>
      <w:r>
        <w:rPr>
          <w:rFonts w:ascii="Yu Mincho" w:cs="Yu Mincho" w:eastAsia="Yu Mincho" w:hAnsi="Yu Mincho"/>
          <w:sz w:val="21"/>
          <w:szCs w:val="21"/>
        </w:rPr>
        <w:t xml:space="preserve">・暫定的エビデンスがあるが大規模な検証的試験が必要であるため，臨床試験以外では鍼，冷却療法，圧迫療法，運動療法の介入を行ってはいけない。</w:t>
      </w:r>
    </w:p>
    <w:p>
      <w:pPr>
        <w:spacing w:after="120"/>
        <w:ind w:firstLine="210"/>
      </w:pPr>
      <w:r>
        <w:rPr>
          <w:rFonts w:ascii="Yu Mincho" w:cs="Yu Mincho" w:eastAsia="Yu Mincho" w:hAnsi="Yu Mincho"/>
          <w:sz w:val="21"/>
          <w:szCs w:val="21"/>
        </w:rPr>
        <w:t xml:space="preserve">・神経障害を誘発するがん治療薬投与中には予防として，アミトリプチリン，カルシウム・マグネシウム製剤，Calmangafodipir，ガバペンチン，プレガバリン，牛車腎気丸，ベンラファキシンの薬剤を投与してはいけない。</w:t>
      </w:r>
    </w:p>
    <w:p>
      <w:pPr>
        <w:spacing w:after="120"/>
        <w:ind w:firstLine="210"/>
      </w:pPr>
      <w:r>
        <w:rPr>
          <w:rFonts w:ascii="Yu Mincho" w:cs="Yu Mincho" w:eastAsia="Yu Mincho" w:hAnsi="Yu Mincho"/>
          <w:sz w:val="21"/>
          <w:szCs w:val="21"/>
        </w:rPr>
        <w:t xml:space="preserve">・耐え難い神経障害に発展した場合，臨床医は患者と治療延期，投与量減量，化学療法の中止に関して話し合う必要がある。</w:t>
      </w:r>
    </w:p>
    <w:p>
      <w:pPr>
        <w:spacing w:after="120"/>
        <w:ind w:firstLine="210"/>
      </w:pPr>
      <w:r>
        <w:rPr>
          <w:rFonts w:ascii="Yu Mincho" w:cs="Yu Mincho" w:eastAsia="Yu Mincho" w:hAnsi="Yu Mincho"/>
          <w:sz w:val="21"/>
          <w:szCs w:val="21"/>
        </w:rPr>
        <w:t xml:space="preserve">治療・疼痛を有する神経障害を呈した場合はデュロキセチンを投与してもよい（中等度の推奨）。</w:t>
      </w:r>
    </w:p>
    <w:p>
      <w:pPr>
        <w:spacing w:after="120"/>
        <w:ind w:firstLine="210"/>
      </w:pPr>
      <w:r>
        <w:rPr>
          <w:rFonts w:ascii="Yu Mincho" w:cs="Yu Mincho" w:eastAsia="Yu Mincho" w:hAnsi="Yu Mincho"/>
          <w:sz w:val="21"/>
          <w:szCs w:val="21"/>
        </w:rPr>
        <w:t xml:space="preserve">・臨床試験以外では，運動療法，鍼，ガバペンチン，プレガバリン，三環系抗うつ薬の介入を行ってはいけない（運動や鍼には暫定的エビデンスがあるが，大規模な検証的試験が必要である）。</w:t>
      </w:r>
    </w:p>
    <w:p>
      <w:pPr>
        <w:spacing w:after="120"/>
        <w:ind w:firstLine="210"/>
      </w:pPr>
      <w:r>
        <w:rPr>
          <w:rFonts w:ascii="Yu Mincho" w:cs="Yu Mincho" w:eastAsia="Yu Mincho" w:hAnsi="Yu Mincho"/>
          <w:sz w:val="21"/>
          <w:szCs w:val="21"/>
        </w:rPr>
        <w:t xml:space="preserve">補足この ASCO のガイドラインでの推奨は治療のデュロキセチンのみであり，2014 年の初版と同様であった。Discussion では米国での CIPN の薬剤投与の実態も記載されており，プレガバリンがデュロキセチンの 8 倍も投与されているのが現実である。保険会社の影響によりガイドラインと実臨床の乖離があると考察されている。</w:t>
      </w:r>
    </w:p>
    <w:p>
      <w:pPr>
        <w:pStyle w:val="Heading3"/>
        <w:spacing w:after="120" w:before="240"/>
      </w:pPr>
      <w:r>
        <w:rPr>
          <w:rFonts w:ascii="Yu Gothic" w:cs="Yu Gothic" w:eastAsia="Yu Gothic" w:hAnsi="Yu Gothic"/>
          <w:b/>
          <w:bCs/>
        </w:rPr>
        <w:t xml:space="preserve">2．ESMO—EONS—EANO ガイドラインの推奨の要約</w:t>
      </w:r>
    </w:p>
    <w:p>
      <w:pPr>
        <w:spacing w:after="120"/>
        <w:ind w:firstLine="210"/>
      </w:pPr>
      <w:r>
        <w:rPr>
          <w:rFonts w:ascii="Yu Mincho" w:cs="Yu Mincho" w:eastAsia="Yu Mincho" w:hAnsi="Yu Mincho"/>
          <w:sz w:val="21"/>
          <w:szCs w:val="21"/>
        </w:rPr>
        <w:t xml:space="preserve">ESMO—EONS—EANO は 2020 年に CIPN に関する診療ガイドラインを公表した2）。下記に推奨できるもの，考慮できるものを列挙する。</w:t>
      </w:r>
    </w:p>
    <w:p>
      <w:pPr>
        <w:spacing w:after="120"/>
        <w:ind w:firstLine="210"/>
      </w:pPr>
      <w:r>
        <w:rPr>
          <w:rFonts w:ascii="Yu Mincho" w:cs="Yu Mincho" w:eastAsia="Yu Mincho" w:hAnsi="Yu Mincho"/>
          <w:sz w:val="21"/>
          <w:szCs w:val="21"/>
        </w:rPr>
        <w:t xml:space="preserve">予防推奨できるもの：なし考慮できるもの：運動，冷却療法総論章治療推奨できるもの：デュロキセチン考慮できるもの：ベンラファキシン，プレガバリン，アミトリプチリン，トラマドール，強オピオイド。</w:t>
      </w:r>
    </w:p>
    <w:p>
      <w:pPr>
        <w:spacing w:after="120"/>
        <w:ind w:firstLine="210"/>
      </w:pPr>
      <w:r>
        <w:rPr>
          <w:rFonts w:ascii="Yu Mincho" w:cs="Yu Mincho" w:eastAsia="Yu Mincho" w:hAnsi="Yu Mincho"/>
          <w:sz w:val="21"/>
          <w:szCs w:val="21"/>
        </w:rPr>
        <w:t xml:space="preserve">（平山 泰生）</w:t>
      </w:r>
    </w:p>
    <w:p>
      <w:pPr>
        <w:pStyle w:val="Heading2"/>
        <w:spacing w:after="120" w:before="240"/>
      </w:pPr>
      <w:r>
        <w:rPr>
          <w:rFonts w:ascii="Yu Gothic" w:cs="Yu Gothic" w:eastAsia="Yu Gothic" w:hAnsi="Yu Gothic"/>
          <w:b/>
          <w:bCs/>
        </w:rPr>
        <w:t xml:space="preserve">文献（2023年版）</w:t>
      </w:r>
    </w:p>
    <w:p>
      <w:pPr>
        <w:spacing w:after="120"/>
        <w:ind w:firstLine="210"/>
      </w:pPr>
      <w:r>
        <w:rPr>
          <w:rFonts w:ascii="Yu Mincho" w:cs="Yu Mincho" w:eastAsia="Yu Mincho" w:hAnsi="Yu Mincho"/>
          <w:sz w:val="21"/>
          <w:szCs w:val="21"/>
          <w:vertAlign w:val="superscript"/>
        </w:rPr>
        <w:t xml:space="preserve">1)</w:t>
      </w:r>
      <w:r>
        <w:rPr>
          <w:rFonts w:ascii="Yu Mincho" w:cs="Yu Mincho" w:eastAsia="Yu Mincho" w:hAnsi="Yu Mincho"/>
          <w:sz w:val="21"/>
          <w:szCs w:val="21"/>
        </w:rPr>
        <w:t xml:space="preserve">Loprinzi CL, Lacchetti C, Bleeker J, et al. Prevention and Management of Chemotherapy—Induced Peripheral Neuropathy in Survivors of Adult Cancers： ASCO Guideline Update. J Clin Oncol. 2020； 38：3325—48.［PMID： 32663120］</w:t>
      </w:r>
      <w:r>
        <w:rPr>
          <w:rFonts w:ascii="Yu Mincho" w:cs="Yu Mincho" w:eastAsia="Yu Mincho" w:hAnsi="Yu Mincho"/>
          <w:sz w:val="21"/>
          <w:szCs w:val="21"/>
          <w:vertAlign w:val="superscript"/>
        </w:rPr>
        <w:t xml:space="preserve">2)</w:t>
      </w:r>
      <w:r>
        <w:rPr>
          <w:rFonts w:ascii="Yu Mincho" w:cs="Yu Mincho" w:eastAsia="Yu Mincho" w:hAnsi="Yu Mincho"/>
          <w:sz w:val="21"/>
          <w:szCs w:val="21"/>
        </w:rPr>
        <w:t xml:space="preserve">Jordan B, Margulies A, Cardoso F, et al； ESMO Guidelines Committee. EONS Education Working Group. EANO Guideline Committee. Systemic anticancer therapy—induced peripheral and central neu-rotoxicity： ESMO—EONS—EANO Clinical Practice Guidelines for diagnosis, prevention, treatment and follow—up. Ann Oncol. 2020； 31： 1306—19.［PMID： 32739407］</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2026-09-29T14:51:02.187Z</dcterms:created>
  <dcterms:modified xsi:type="dcterms:W3CDTF">2026-09-29T14:51:02.187Z</dcterms:modified>
</cp:coreProperties>
</file>

<file path=docProps/custom.xml><?xml version="1.0" encoding="utf-8"?>
<Properties xmlns="http://schemas.openxmlformats.org/officeDocument/2006/custom-properties" xmlns:vt="http://schemas.openxmlformats.org/officeDocument/2006/docPropsVTypes"/>
</file>