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L. 「手引き2017年版」公表の効果の検証</w:t>
      </w:r>
    </w:p>
    <w:p>
      <w:pPr>
        <w:spacing w:after="120"/>
      </w:pPr>
      <w:r>
        <w:rPr>
          <w:rFonts w:ascii="Yu Mincho" w:cs="Yu Mincho" w:eastAsia="Yu Mincho" w:hAnsi="Yu Mincho"/>
          <w:sz w:val="21"/>
          <w:szCs w:val="21"/>
        </w:rPr>
        <w:t xml:space="preserve">担当：（未定：2023年版執筆者）　／　2023年版 第2章 pp.53–54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2023年版に既にある図表：図1 しびれが出現した時投与する薬剤の処方の変化</w:t>
      </w:r>
    </w:p>
    <w:p>
      <w:pPr>
        <w:pStyle w:val="ListParagraph"/>
        <w:numPr>
          <w:ilvl w:val="0"/>
          <w:numId w:val="2"/>
        </w:numPr>
        <w:spacing w:after="60"/>
      </w:pPr>
      <w:r>
        <w:rPr>
          <w:rFonts w:ascii="Yu Mincho" w:cs="Yu Mincho" w:eastAsia="Yu Mincho" w:hAnsi="Yu Mincho"/>
          <w:sz w:val="21"/>
          <w:szCs w:val="21"/>
        </w:rPr>
        <w:t xml:space="preserve">図：図1の更新（2023年版公表後の処方変化を追加し、2017→2023→改訂前の3時点で比較）</w:t>
      </w:r>
    </w:p>
    <w:p>
      <w:pPr>
        <w:pStyle w:val="ListParagraph"/>
        <w:numPr>
          <w:ilvl w:val="0"/>
          <w:numId w:val="2"/>
        </w:numPr>
        <w:spacing w:after="60"/>
      </w:pPr>
      <w:r>
        <w:rPr>
          <w:rFonts w:ascii="Yu Mincho" w:cs="Yu Mincho" w:eastAsia="Yu Mincho" w:hAnsi="Yu Mincho"/>
          <w:sz w:val="21"/>
          <w:szCs w:val="21"/>
        </w:rPr>
        <w:t xml:space="preserve">図：ガイドライン認知度・遵守率の調査結果（職種別の棒グラフ）</w:t>
      </w:r>
    </w:p>
    <w:p>
      <w:pPr>
        <w:pStyle w:val="ListParagraph"/>
        <w:numPr>
          <w:ilvl w:val="0"/>
          <w:numId w:val="2"/>
        </w:numPr>
        <w:spacing w:after="60"/>
      </w:pPr>
      <w:r>
        <w:rPr>
          <w:rFonts w:ascii="Yu Mincho" w:cs="Yu Mincho" w:eastAsia="Yu Mincho" w:hAnsi="Yu Mincho"/>
          <w:sz w:val="21"/>
          <w:szCs w:val="21"/>
        </w:rPr>
        <w:t xml:space="preserve">表：手引き2017年版・GL2023年版のQuality Indicatorと達成状況</w:t>
      </w:r>
    </w:p>
    <w:p>
      <w:pPr>
        <w:pStyle w:val="Heading1"/>
        <w:spacing w:after="120" w:before="240"/>
      </w:pPr>
      <w:r>
        <w:rPr>
          <w:rFonts w:ascii="Yu Gothic" w:cs="Yu Gothic" w:eastAsia="Yu Gothic" w:hAnsi="Yu Gothic"/>
          <w:b/>
          <w:bCs/>
        </w:rPr>
        <w:t xml:space="preserve">3. 2023年版 原文</w:t>
      </w:r>
    </w:p>
    <w:p>
      <w:pPr>
        <w:spacing w:after="120"/>
        <w:ind w:firstLine="210"/>
      </w:pPr>
      <w:r>
        <w:rPr>
          <w:rFonts w:ascii="Yu Mincho" w:cs="Yu Mincho" w:eastAsia="Yu Mincho" w:hAnsi="Yu Mincho"/>
          <w:sz w:val="21"/>
          <w:szCs w:val="21"/>
        </w:rPr>
        <w:t xml:space="preserve">「がん薬物療法に伴う末梢神経障害マネジメントの手引き 2017 年版」公表の効果の検証</w:t>
      </w:r>
    </w:p>
    <w:p>
      <w:pPr>
        <w:pStyle w:val="Heading3"/>
        <w:spacing w:after="120" w:before="240"/>
      </w:pPr>
      <w:r>
        <w:rPr>
          <w:rFonts w:ascii="Yu Gothic" w:cs="Yu Gothic" w:eastAsia="Yu Gothic" w:hAnsi="Yu Gothic"/>
          <w:b/>
          <w:bCs/>
        </w:rPr>
        <w:t xml:space="preserve">L 「がん薬物療法に伴う末梢神経障害マネジメント</w:t>
      </w:r>
    </w:p>
    <w:p>
      <w:pPr>
        <w:spacing w:after="120"/>
        <w:ind w:firstLine="210"/>
      </w:pPr>
      <w:r>
        <w:rPr>
          <w:rFonts w:ascii="Yu Mincho" w:cs="Yu Mincho" w:eastAsia="Yu Mincho" w:hAnsi="Yu Mincho"/>
          <w:sz w:val="21"/>
          <w:szCs w:val="21"/>
        </w:rPr>
        <w:t xml:space="preserve">の手引き 2017 年版」公表の効果の検証日本では CIPN の治療にさまざまな薬物が投与されているが，実際にどのような薬物が投与されているかの実態調査はなかった。</w:t>
      </w:r>
    </w:p>
    <w:p>
      <w:pPr>
        <w:spacing w:after="120"/>
        <w:ind w:firstLine="210"/>
      </w:pPr>
      <w:r>
        <w:rPr>
          <w:rFonts w:ascii="Yu Mincho" w:cs="Yu Mincho" w:eastAsia="Yu Mincho" w:hAnsi="Yu Mincho"/>
          <w:sz w:val="21"/>
          <w:szCs w:val="21"/>
        </w:rPr>
        <w:t xml:space="preserve">著者らは CIPN に対して日本では，どのような薬物が投与されているかの実態を把握すべく，2015 年に日本臨床腫瘍学会のがん薬物療法専門医 971 名を対象にアンケートを実施し，300 名（30.9％）から回答が得られた1）。ビタミン B12，抗痙攣薬（プレガバリンなど），デュロキセチン，デュロキセチン以外の抗うつ薬，非ステロイド性消炎鎮痛薬（NSAIDs），オピオイド，漢方薬（牛車腎気丸など）について，A：高頻度（あるいは予防的）に投与，B：時に投与することがある，C：あまり投与しないの 3 段階で調査した。A＋B の割合が多い順に記載すると，しびれに対してはプレガバリンなどの抗痙攣薬（A＋B＝98.7％），ビタミン B12（74.7％），漢方薬（58.7％），デュロキセチン（46.8％）であった（図 1 黒）。疼痛に対してはNSAIDs（97.7％），オピオイド（83.1％），抗痙攣薬（82.1％）などがよく投与されていた。</w:t>
      </w:r>
    </w:p>
    <w:p>
      <w:pPr>
        <w:spacing w:after="120"/>
        <w:ind w:firstLine="210"/>
      </w:pPr>
      <w:r>
        <w:rPr>
          <w:rFonts w:ascii="Yu Mincho" w:cs="Yu Mincho" w:eastAsia="Yu Mincho" w:hAnsi="Yu Mincho"/>
          <w:sz w:val="21"/>
          <w:szCs w:val="21"/>
        </w:rPr>
        <w:t xml:space="preserve">以上より，わが国では，CIPN に多種の薬物が高頻度に投与されていることがわかった。</w:t>
      </w:r>
    </w:p>
    <w:p>
      <w:pPr>
        <w:spacing w:after="120"/>
        <w:ind w:firstLine="210"/>
      </w:pPr>
      <w:r>
        <w:rPr>
          <w:rFonts w:ascii="Yu Mincho" w:cs="Yu Mincho" w:eastAsia="Yu Mincho" w:hAnsi="Yu Mincho"/>
          <w:sz w:val="21"/>
          <w:szCs w:val="21"/>
        </w:rPr>
        <w:t xml:space="preserve">わが国での診療指針を作成する場合，ASCO のガイドラインではほとんど言及されていないビタミン B12，NSAIDs，オピオイド，漢方薬に関しても検討することが必要と思われ，実際に「がん薬物療法に伴う末梢神経障害マネジメントの手引き 2017 年版」の作成に結びついた。</w:t>
      </w:r>
    </w:p>
    <w:p>
      <w:pPr>
        <w:spacing w:after="120"/>
        <w:ind w:firstLine="210"/>
      </w:pPr>
      <w:r>
        <w:rPr>
          <w:rFonts w:ascii="Yu Mincho" w:cs="Yu Mincho" w:eastAsia="Yu Mincho" w:hAnsi="Yu Mincho"/>
          <w:sz w:val="21"/>
          <w:szCs w:val="21"/>
        </w:rPr>
        <w:t xml:space="preserve">その後の 2019 年にも同様のアンケートをがん薬物療法専門医 1,329 名に行い 295 名（22.2％）の回答を得た2）。その結果，しびれに対してはプレガバリンなどの抗痙攣薬（A＋B＝94.3％），ビタミン B12（58.3％），漢方薬（47.5％），デュロキセチン（68.9％）の投与頻度であった（図 1 青）。疼痛に対しては NSAIDs（78.3％），オピオイド（69.2％），抗痙攣薬（86.1％）などの投与頻度であった。2015 年と 2019 年の比較では，プレガバリンはいずれのアンケートでも高頻度に投与されており，デュロキセチンは有意に頻度が増加した。それ以外の薬剤では投与頻度が低下した。</w:t>
      </w:r>
    </w:p>
    <w:p>
      <w:pPr>
        <w:spacing w:after="120"/>
        <w:ind w:firstLine="210"/>
      </w:pPr>
      <w:r>
        <w:rPr>
          <w:rFonts w:ascii="Yu Mincho" w:cs="Yu Mincho" w:eastAsia="Yu Mincho" w:hAnsi="Yu Mincho"/>
          <w:sz w:val="21"/>
          <w:szCs w:val="21"/>
        </w:rPr>
        <w:t xml:space="preserve">さらに，「がん薬物療法に伴う末梢神経障害マネジメントの手引き 2017 年版」を知っている医師と知らない医師とで疼痛に対するデュロキセチンの投与頻度に有意差があり（78.5％vs 67.4％），知っている医師は投与頻度が高いことも明らかとなった。以上より「がん薬物療法に伴う末梢神経障害マネジメントの手引き 2017 年版」は専門医の処方に影響を与えたことが検証された。</w:t>
      </w:r>
    </w:p>
    <w:p>
      <w:pPr>
        <w:spacing w:after="120"/>
        <w:ind w:firstLine="210"/>
      </w:pPr>
      <w:r>
        <w:rPr>
          <w:rFonts w:ascii="Yu Mincho" w:cs="Yu Mincho" w:eastAsia="Yu Mincho" w:hAnsi="Yu Mincho"/>
          <w:sz w:val="21"/>
          <w:szCs w:val="21"/>
        </w:rPr>
        <w:t xml:space="preserve">総論章（平山 泰生）</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Hirayama Y, Sasaki J, Dosaka—Akita H, et al. Survey of the management of chemotherapy—induced peripheral neuropathy in Japan： Japanese Society of Medical Oncology. ESMO Open. 2016； 1： e000053.［PMID： 27843610］</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Hirayama Y, Yoshida Y, Mori M, et al. Effects of the publication of Clinical Guidelines for the Manage-ment of Chemotherapy—Induced Peripheral Neuropathy on the Administration Preferences of Oncol-ogy Specialists： Japanese Association of Supportive Care in Cancer. Jpn J Clin Oncol. 2020； 50： 897—902.［PMID： 32424420］図 1．しびれが出現した時投与する薬剤の処方の変化高頻度に投与 時に投与 あまり投与しないビタミンB12デュロキセチンオピオイド牛車腎気丸プレガバリン（2015年，2019年）proportion of answer（％）抗うつ薬（デュロキセチン以外）NSAIDs</w:t>
      </w:r>
    </w:p>
    <w:p>
      <w:r>
        <w:br w:type="page"/>
      </w:r>
    </w:p>
    <w:p>
      <w:pPr>
        <w:pStyle w:val="Heading1"/>
        <w:spacing w:after="120" w:before="240"/>
      </w:pPr>
      <w:r>
        <w:rPr>
          <w:rFonts w:ascii="Yu Gothic" w:cs="Yu Gothic" w:eastAsia="Yu Gothic" w:hAnsi="Yu Gothic"/>
          <w:b/>
          <w:bCs/>
        </w:rPr>
        <w:t xml:space="preserve">4. 2023年版の図表（ページ画像・参照用）</w:t>
      </w:r>
    </w:p>
    <w:p>
      <w:pPr>
        <w:spacing w:after="120"/>
      </w:pPr>
      <w:r>
        <w:rPr>
          <w:rFonts w:ascii="Yu Mincho" w:cs="Yu Mincho" w:eastAsia="Yu Mincho" w:hAnsi="Yu Mincho"/>
          <w:sz w:val="21"/>
          <w:szCs w:val="21"/>
        </w:rPr>
        <w:t xml:space="preserve">2023年版 p.54</w:t>
      </w:r>
    </w:p>
    <w:p>
      <w:pPr>
        <w:jc w:val="center"/>
      </w:pPr>
      <w:r>
        <w:drawing>
          <wp:inline distT="0" distB="0" distL="0" distR="0">
            <wp:extent cx="4953000" cy="6991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991350"/>
                    </a:xfrm>
                    <a:prstGeom prst="rect">
                      <a:avLst/>
                    </a:prstGeom>
                  </pic:spPr>
                </pic:pic>
              </a:graphicData>
            </a:graphic>
          </wp:inline>
        </w:drawing>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d296a1ccf5f3a7b7df6d99d707d91d2833190e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2026-09-29T14:51:02.204Z</dcterms:created>
  <dcterms:modified xsi:type="dcterms:W3CDTF">2026-09-29T14:51:02.204Z</dcterms:modified>
</cp:coreProperties>
</file>

<file path=docProps/custom.xml><?xml version="1.0" encoding="utf-8"?>
<Properties xmlns="http://schemas.openxmlformats.org/officeDocument/2006/custom-properties" xmlns:vt="http://schemas.openxmlformats.org/officeDocument/2006/docPropsVTypes"/>
</file>