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Yu Gothic" w:cs="Yu Gothic" w:eastAsia="Yu Gothic" w:hAnsi="Yu Gothic"/>
          <w:sz w:val="18"/>
          <w:szCs w:val="18"/>
        </w:rPr>
        <w:t xml:space="preserve">がん薬物療法に伴う末梢神経障害診療ガイドライン2028年版</w:t>
      </w:r>
    </w:p>
    <w:p>
      <w:pPr>
        <w:pStyle w:val="Title"/>
        <w:spacing w:after="80" w:before="100"/>
      </w:pPr>
      <w:r>
        <w:rPr>
          <w:rFonts w:ascii="Yu Gothic" w:cs="Yu Gothic" w:eastAsia="Yu Gothic" w:hAnsi="Yu Gothic"/>
          <w:b/>
          <w:bCs/>
          <w:sz w:val="34"/>
          <w:szCs w:val="34"/>
        </w:rPr>
        <w:t xml:space="preserve">SR委員長の業務手順</w:t>
      </w:r>
    </w:p>
    <w:p>
      <w:pPr>
        <w:spacing w:after="100"/>
      </w:pPr>
      <w:r>
        <w:rPr>
          <w:rFonts w:ascii="Yu Gothic" w:cs="Yu Gothic" w:eastAsia="Yu Gothic" w:hAnsi="Yu Gothic"/>
          <w:sz w:val="20"/>
          <w:szCs w:val="20"/>
        </w:rPr>
        <w:t xml:space="preserve">SRチーム委員長 中川夏樹 先生用　／　作成日 2026年10月7日　／　根拠: 承認済み企画書(Ver1 2026年6月17日)、提案書v2、Minds診療ガイドライン作成マニュアル2020</w:t>
      </w:r>
    </w:p>
    <w:p>
      <w:pPr>
        <w:pStyle w:val="Heading1"/>
        <w:spacing w:after="120" w:before="280"/>
      </w:pPr>
      <w:r>
        <w:rPr>
          <w:rFonts w:ascii="Yu Gothic" w:cs="Yu Gothic" w:eastAsia="Yu Gothic" w:hAnsi="Yu Gothic"/>
          <w:b/>
          <w:bCs/>
          <w:sz w:val="26"/>
          <w:szCs w:val="26"/>
        </w:rPr>
        <w:t xml:space="preserve">1. 役割</w:t>
      </w:r>
    </w:p>
    <w:p>
      <w:pPr>
        <w:spacing w:after="100"/>
      </w:pPr>
      <w:r>
        <w:rPr>
          <w:rFonts w:ascii="Yu Gothic" w:cs="Yu Gothic" w:eastAsia="Yu Gothic" w:hAnsi="Yu Gothic"/>
          <w:sz w:val="20"/>
          <w:szCs w:val="20"/>
        </w:rPr>
        <w:t xml:space="preserve">SR委員長は、SRチーム(委員15名と、参画打診中の3名)が、企画書とMindsに沿って、期限までに、同じ規則で作業するよう取りまとめる。推奨の決定は、推奨作成会議の投票で行い、SR委員長の判断ではない。企画書にない項目の追加・変更は、統括委員会が決める。SR委員長が必要と考えた場合は、統括委員長に提案する。</w:t>
      </w:r>
    </w:p>
    <w:p>
      <w:pPr>
        <w:pStyle w:val="Heading1"/>
        <w:spacing w:after="120" w:before="280"/>
      </w:pPr>
      <w:r>
        <w:rPr>
          <w:rFonts w:ascii="Yu Gothic" w:cs="Yu Gothic" w:eastAsia="Yu Gothic" w:hAnsi="Yu Gothic"/>
          <w:b/>
          <w:bCs/>
          <w:sz w:val="26"/>
          <w:szCs w:val="26"/>
        </w:rPr>
        <w:t xml:space="preserve">2. 担当表(企画書 2_1)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00"/>
        <w:gridCol w:w="3000"/>
        <w:gridCol w:w="3000"/>
        <w:gridCol w:w="2200"/>
      </w:tblGrid>
      <w:tr>
        <w:trPr>
          <w:cantSplit/>
          <w:tblHeader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5"/>
                <w:szCs w:val="15"/>
              </w:rPr>
              <w:t xml:space="preserve">ID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5"/>
                <w:szCs w:val="15"/>
              </w:rPr>
              <w:t xml:space="preserve">種別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5"/>
                <w:szCs w:val="15"/>
              </w:rPr>
              <w:t xml:space="preserve">区分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5"/>
                <w:szCs w:val="15"/>
              </w:rPr>
              <w:t xml:space="preserve">項目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5"/>
                <w:szCs w:val="15"/>
              </w:rPr>
              <w:t xml:space="preserve">担当(2名で独立に作業)</w:t>
            </w:r>
          </w:p>
        </w:tc>
      </w:tr>
      <w:tr>
        <w:trPr>
          <w:cantSplit/>
          <w:tblHeader w:val="off"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P1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CQ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薬物療法による予防(監修:古川)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牛車腎気丸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元雄、菊池</w:t>
            </w:r>
          </w:p>
        </w:tc>
      </w:tr>
      <w:tr>
        <w:trPr>
          <w:cantSplit/>
          <w:tblHeader w:val="off"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P2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CQ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薬物療法による予防(監修:古川)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ガバペンチノイド(プレガバリン)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中島、伊藤</w:t>
            </w:r>
          </w:p>
        </w:tc>
      </w:tr>
      <w:tr>
        <w:trPr>
          <w:cantSplit/>
          <w:tblHeader w:val="off"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P3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CQ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薬物療法による予防(監修:古川)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カルニチン(アセチルLカルニチン)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内藤、在原</w:t>
            </w:r>
          </w:p>
        </w:tc>
      </w:tr>
      <w:tr>
        <w:trPr>
          <w:cantSplit/>
          <w:tblHeader w:val="off"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N1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CQ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非薬物療法による予防(監修:華井)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冷却・圧迫療法(統合)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川口、上野</w:t>
            </w:r>
          </w:p>
        </w:tc>
      </w:tr>
      <w:tr>
        <w:trPr>
          <w:cantSplit/>
          <w:tblHeader w:val="off"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N2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CQ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非薬物療法による予防(監修:華井)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運動(予防)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荒尾、山本、中川夏樹</w:t>
            </w:r>
          </w:p>
        </w:tc>
      </w:tr>
      <w:tr>
        <w:trPr>
          <w:cantSplit/>
          <w:tblHeader w:val="off"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N3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CQ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非薬物療法による予防(監修:華井)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鍼灸(予防)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草場、田辺</w:t>
            </w:r>
          </w:p>
        </w:tc>
      </w:tr>
      <w:tr>
        <w:trPr>
          <w:cantSplit/>
          <w:tblHeader w:val="off"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T1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CQ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薬物療法による治療(監修:吉田)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デュロキセチン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神林、武井</w:t>
            </w:r>
          </w:p>
        </w:tc>
      </w:tr>
      <w:tr>
        <w:trPr>
          <w:cantSplit/>
          <w:tblHeader w:val="off"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T2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CQ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薬物療法による治療(監修:吉田)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デュロキセチン以外の抗うつ剤(アミトリプチリン)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縄田、平川</w:t>
            </w:r>
          </w:p>
        </w:tc>
      </w:tr>
      <w:tr>
        <w:trPr>
          <w:cantSplit/>
          <w:tblHeader w:val="off"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T3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CQ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薬物療法による治療(監修:吉田)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ガバペンチノイド(プレガバリン、ミロガバリン)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渡辺、釆野</w:t>
            </w:r>
          </w:p>
        </w:tc>
      </w:tr>
      <w:tr>
        <w:trPr>
          <w:cantSplit/>
          <w:tblHeader w:val="off"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N4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CQ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非薬物療法による治療(監修:華井)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運動(治療)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荒尾、山本、大岩</w:t>
            </w:r>
          </w:p>
        </w:tc>
      </w:tr>
      <w:tr>
        <w:trPr>
          <w:cantSplit/>
          <w:tblHeader w:val="off"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N5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CQ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非薬物療法による治療(監修:華井)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鍼灸(治療)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神田、京田、久保</w:t>
            </w:r>
          </w:p>
        </w:tc>
      </w:tr>
      <w:tr>
        <w:trPr>
          <w:cantSplit/>
          <w:tblHeader w:val="off"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F1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FRQ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FRQ(前回エビデンスが不足していた項目)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ビタミンB12による治療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坂下、中川貴之</w:t>
            </w:r>
          </w:p>
        </w:tc>
      </w:tr>
      <w:tr>
        <w:trPr>
          <w:cantSplit/>
          <w:tblHeader w:val="off"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F2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FRQ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FRQ(前回エビデンスが不足していた項目)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非ステロイド性消炎鎮痛薬(NSAIDs)による治療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松岡宏、松坂</w:t>
            </w:r>
          </w:p>
        </w:tc>
      </w:tr>
      <w:tr>
        <w:trPr>
          <w:cantSplit/>
          <w:tblHeader w:val="off"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F3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FRQ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FRQ(前回エビデンスが不足していた項目)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オピオイドによる治療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高木、山田</w:t>
            </w:r>
          </w:p>
        </w:tc>
      </w:tr>
      <w:tr>
        <w:trPr>
          <w:cantSplit/>
          <w:tblHeader w:val="off"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F4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FRQ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FRQ(前回エビデンスが不足していた項目)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併用療法による治療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宇和川、佐藤</w:t>
            </w:r>
          </w:p>
        </w:tc>
      </w:tr>
    </w:tbl>
    <w:p>
      <w:pPr>
        <w:spacing w:after="100"/>
      </w:pPr>
      <w:r>
        <w:rPr>
          <w:rFonts w:ascii="Yu Gothic" w:cs="Yu Gothic" w:eastAsia="Yu Gothic" w:hAnsi="Yu Gothic"/>
          <w:i/>
          <w:iCs/>
          <w:sz w:val="18"/>
          <w:szCs w:val="18"/>
        </w:rPr>
        <w:t xml:space="preserve">注: 前回の担当や、*(今回から参画)の表示は企画書を参照。カルニチンなど処理量の少ない項目は、1名で作業する場合がある(前回Scope)。同じ担当の別チーム(運動、鍼灸の予防と治療)は、検索式の段階で情報共有してよい(前回Scope)。</w:t>
      </w:r>
    </w:p>
    <w:p>
      <w:pPr>
        <w:pStyle w:val="Heading1"/>
        <w:spacing w:after="120" w:before="280"/>
      </w:pPr>
      <w:r>
        <w:rPr>
          <w:rFonts w:ascii="Yu Gothic" w:cs="Yu Gothic" w:eastAsia="Yu Gothic" w:hAnsi="Yu Gothic"/>
          <w:b/>
          <w:bCs/>
          <w:sz w:val="26"/>
          <w:szCs w:val="26"/>
        </w:rPr>
        <w:t xml:space="preserve">3. 業務の手順と期限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500"/>
        <w:gridCol w:w="2300"/>
        <w:gridCol w:w="2000"/>
      </w:tblGrid>
      <w:tr>
        <w:trPr>
          <w:cantSplit/>
          <w:tblHeader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5"/>
                <w:szCs w:val="15"/>
              </w:rPr>
              <w:t xml:space="preserve">時期</w:t>
            </w:r>
          </w:p>
        </w:tc>
        <w:tc>
          <w:tcPr>
            <w:tcW w:type="dxa" w:w="4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5"/>
                <w:szCs w:val="15"/>
              </w:rPr>
              <w:t xml:space="preserve">業務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5"/>
                <w:szCs w:val="15"/>
              </w:rPr>
              <w:t xml:space="preserve">使う画面・書類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5"/>
                <w:szCs w:val="15"/>
              </w:rPr>
              <w:t xml:space="preserve">成果</w:t>
            </w:r>
          </w:p>
        </w:tc>
      </w:tr>
      <w:tr>
        <w:trPr>
          <w:cantSplit/>
          <w:tblHeader w:val="off"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2026年10〜11月</w:t>
            </w:r>
          </w:p>
        </w:tc>
        <w:tc>
          <w:tcPr>
            <w:tcW w:type="dxa" w:w="4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担当ペアを確認し、連絡する。全員へ手順書(SR委員の手順書)と依頼書を送る。名簿の欠けがないか、事務局と確認する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SR作業依頼書、SR委員の手順書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担当確認の返信(全員)</w:t>
            </w:r>
          </w:p>
        </w:tc>
      </w:tr>
      <w:tr>
        <w:trPr>
          <w:cantSplit/>
          <w:tblHeader w:val="off"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2026年11月</w:t>
            </w:r>
          </w:p>
        </w:tc>
        <w:tc>
          <w:tcPr>
            <w:tcW w:type="dxa" w:w="4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キックオフ会議を開く。規則を統一する: 化学療法の分類6区分、0/-1/-2の判断、除外理由の書き方、検索式の記録、予防か治療かの判定(Methodの記載で行う)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操作マニュアル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規則の確認(議事録)</w:t>
            </w:r>
          </w:p>
        </w:tc>
      </w:tr>
      <w:tr>
        <w:trPr>
          <w:cantSplit/>
          <w:tblHeader w:val="off"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2026年11月末</w:t>
            </w:r>
          </w:p>
        </w:tc>
        <w:tc>
          <w:tcPr>
            <w:tcW w:type="dxa" w:w="4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COI申告書の回収を確認する(事務局)。直接評価する論文の筆頭著者に当たる委員を、担当ごとに聞き取り、投票除外の候補を作る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管理台帳 COI台帳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投票除外の候補表</w:t>
            </w:r>
          </w:p>
        </w:tc>
      </w:tr>
      <w:tr>
        <w:trPr>
          <w:cantSplit/>
          <w:tblHeader w:val="off"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2026年12月末</w:t>
            </w:r>
          </w:p>
        </w:tc>
        <w:tc>
          <w:tcPr>
            <w:tcW w:type="dxa" w:w="4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検索とスクリーニングの記録を点検する。検索期間が前回の検索終了日の翌月から2026年10月までになっているか、検索式が全CQで同じ骨格か、除外理由が記録されているかを見る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書類の作成状況.xlsx(検索式、スクリーニング、PRISMA件数)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不足の担当へ連絡</w:t>
            </w:r>
          </w:p>
        </w:tc>
      </w:tr>
      <w:tr>
        <w:trPr>
          <w:cantSplit/>
          <w:tblHeader w:val="off"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2027年1月</w:t>
            </w:r>
          </w:p>
        </w:tc>
        <w:tc>
          <w:tcPr>
            <w:tcW w:type="dxa" w:w="4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二次スクリーニングの照合結果を確認する。未入手論文一覧を担当に配り、各自の入手を促す。各自で入手できない論文だけ、監修者に相談のうえ華井が取り寄せる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_未入手論文一覧.md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未入手0件を目標とする</w:t>
            </w:r>
          </w:p>
        </w:tc>
      </w:tr>
      <w:tr>
        <w:trPr>
          <w:cantSplit/>
          <w:tblHeader w:val="off"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2027年2月末</w:t>
            </w:r>
          </w:p>
        </w:tc>
        <w:tc>
          <w:tcPr>
            <w:tcW w:type="dxa" w:w="4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研究特性の記入を点検する(化学療法の分類、薬剤・レジメン、がん腫、介入、対照の空欄がないか)。分類の迷いを、委員で統一する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書類の作成状況.xlsx(研究特性)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空欄0件</w:t>
            </w:r>
          </w:p>
        </w:tc>
      </w:tr>
      <w:tr>
        <w:trPr>
          <w:cantSplit/>
          <w:tblHeader w:val="off"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2027年3月</w:t>
            </w:r>
          </w:p>
        </w:tc>
        <w:tc>
          <w:tcPr>
            <w:tcW w:type="dxa" w:w="4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個別研究の評価(様式4-5)の記入状況を点検する。2名が独立に記入しているか(相手のシートを見ていないか)を確認する。検索の更新(〜2027年3月)を指示する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4-5シート、書類の作成状況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全論文に2名の評価</w:t>
            </w:r>
          </w:p>
        </w:tc>
      </w:tr>
      <w:tr>
        <w:trPr>
          <w:cantSplit/>
          <w:tblHeader w:val="off"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2027年4月中旬</w:t>
            </w:r>
          </w:p>
        </w:tc>
        <w:tc>
          <w:tcPr>
            <w:tcW w:type="dxa" w:w="4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照合シートの不一致を、担当2名の協議で解消させる。決まらない項目は、SR委員長が論文の該当箇所を読み、案を作って統括委員長に報告する(最終決定は統括委員長。案として統括委員会の承認を求める)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4-5_照合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不一致の確定</w:t>
            </w:r>
          </w:p>
        </w:tc>
      </w:tr>
      <w:tr>
        <w:trPr>
          <w:cantSplit/>
          <w:tblHeader w:val="off"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2027年4月末</w:t>
            </w:r>
          </w:p>
        </w:tc>
        <w:tc>
          <w:tcPr>
            <w:tcW w:type="dxa" w:w="4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SR-8を、全CQで同じ基準になっているか見比べる(例: 同じ種類のバイアスに、同じ減点がされているか)。化学療法で結果が分かれるCQは、層別行の使い方をそろえる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SR-8、SoF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全CQのSR-8完了</w:t>
            </w:r>
          </w:p>
        </w:tc>
      </w:tr>
      <w:tr>
        <w:trPr>
          <w:cantSplit/>
          <w:tblHeader w:val="off"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2027年5月上旬</w:t>
            </w:r>
          </w:p>
        </w:tc>
        <w:tc>
          <w:tcPr>
            <w:tcW w:type="dxa" w:w="4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推奨文草案(CQ)とFRQ記載草案を集め、書類の作成状況をすべて「完了」にする。未完了の項目は、期限を決めて統括委員長に報告する。会議の3週間前までに事務局へ渡す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草案作成シート、書類の作成状況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SR項目11とFRQ4項目の草案の提出</w:t>
            </w:r>
          </w:p>
        </w:tc>
      </w:tr>
      <w:tr>
        <w:trPr>
          <w:cantSplit/>
          <w:tblHeader w:val="off"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2027年5月</w:t>
            </w:r>
          </w:p>
        </w:tc>
        <w:tc>
          <w:tcPr>
            <w:tcW w:type="dxa" w:w="4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推奨作成会議で、CQごとに、SR担当がSR-8とSoFを報告する。SR担当は、そのCQの投票に加わらない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決定記録シート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</w:tr>
      <w:tr>
        <w:trPr>
          <w:cantSplit/>
          <w:tblHeader w:val="off"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2027年6〜9月</w:t>
            </w:r>
          </w:p>
        </w:tc>
        <w:tc>
          <w:tcPr>
            <w:tcW w:type="dxa" w:w="4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解説の執筆の進行を確認する。推奨の決定内容(強さ、確実性)と解説の整合を確認する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推奨作成の記録.xlsx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解説の完成</w:t>
            </w:r>
          </w:p>
        </w:tc>
      </w:tr>
    </w:tbl>
    <w:p>
      <w:pPr>
        <w:pStyle w:val="Heading1"/>
        <w:spacing w:after="120" w:before="280"/>
      </w:pPr>
      <w:r>
        <w:rPr>
          <w:rFonts w:ascii="Yu Gothic" w:cs="Yu Gothic" w:eastAsia="Yu Gothic" w:hAnsi="Yu Gothic"/>
          <w:b/>
          <w:bCs/>
          <w:sz w:val="26"/>
          <w:szCs w:val="26"/>
        </w:rPr>
        <w:t xml:space="preserve">4. 毎月の点検(月末)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Yu Gothic" w:cs="Yu Gothic" w:eastAsia="Yu Gothic" w:hAnsi="Yu Gothic"/>
          <w:sz w:val="20"/>
          <w:szCs w:val="20"/>
        </w:rPr>
        <w:t xml:space="preserve">事務局に、書類の作成状況.xlsx を出力してもらう(export_minds_documents.py)。CQごと・書類ごとの 完了/一部/未 を確認する。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Yu Gothic" w:cs="Yu Gothic" w:eastAsia="Yu Gothic" w:hAnsi="Yu Gothic"/>
          <w:sz w:val="20"/>
          <w:szCs w:val="20"/>
        </w:rPr>
        <w:t xml:space="preserve">スクリーニングは、作業ブックの「スクリーニング進捗」(run_jascc.sh screening で更新)で、担当者ごとの一次の未判定、二次の未判定、全文の未入手・未読、理由未記入を確認する。「スクリーニング照合」の不一致は、担当2名の協議を促す。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Yu Gothic" w:cs="Yu Gothic" w:eastAsia="Yu Gothic" w:hAnsi="Yu Gothic"/>
          <w:sz w:val="20"/>
          <w:szCs w:val="20"/>
        </w:rPr>
        <w:t xml:space="preserve">「未」「一部」のCQの担当者に連絡し、次の月末までの予定を聞く。遅れが1か月を超える場合は、統括委員長に報告する。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Yu Gothic" w:cs="Yu Gothic" w:eastAsia="Yu Gothic" w:hAnsi="Yu Gothic"/>
          <w:sz w:val="20"/>
          <w:szCs w:val="20"/>
        </w:rPr>
        <w:t xml:space="preserve">月次報告を、統括委員長へ送る。記載する項目: 完了したCQの数、遅れている担当と理由、規則の疑問、決定が必要な事項。</w:t>
      </w:r>
    </w:p>
    <w:p>
      <w:pPr>
        <w:pStyle w:val="Heading1"/>
        <w:spacing w:after="120" w:before="280"/>
      </w:pPr>
      <w:r>
        <w:rPr>
          <w:rFonts w:ascii="Yu Gothic" w:cs="Yu Gothic" w:eastAsia="Yu Gothic" w:hAnsi="Yu Gothic"/>
          <w:b/>
          <w:bCs/>
          <w:sz w:val="26"/>
          <w:szCs w:val="26"/>
        </w:rPr>
        <w:t xml:space="preserve">5. 独立性とバイアスの管理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Yu Gothic" w:cs="Yu Gothic" w:eastAsia="Yu Gothic" w:hAnsi="Yu Gothic"/>
          <w:sz w:val="20"/>
          <w:szCs w:val="20"/>
        </w:rPr>
        <w:t xml:space="preserve">個別研究の評価(様式4-5)とスクリーニングは、2名が相手の判定を見ずに行う。委員長は、評価の提出前に、2名の評価を見比べて内容に口を出さない。照合の後の協議で、意見を出し合う。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Yu Gothic" w:cs="Yu Gothic" w:eastAsia="Yu Gothic" w:hAnsi="Yu Gothic"/>
          <w:sz w:val="20"/>
          <w:szCs w:val="20"/>
        </w:rPr>
        <w:t xml:space="preserve">Claudeの下書き(4-5_Claude下書き)は、参考である。委員が下書きの内容を、そのままコピーしていないかを、照合の際に確認する(下書きと全項目が一致する評価は、論文の該当箇所を一緒に読み直す)。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Yu Gothic" w:cs="Yu Gothic" w:eastAsia="Yu Gothic" w:hAnsi="Yu Gothic"/>
          <w:sz w:val="20"/>
          <w:szCs w:val="20"/>
        </w:rPr>
        <w:t xml:space="preserve">企画書にない介入の追加、CQの変更、投票者の変更は、行わない。依頼があれば、統括委員長に確認する。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Yu Gothic" w:cs="Yu Gothic" w:eastAsia="Yu Gothic" w:hAnsi="Yu Gothic"/>
          <w:sz w:val="20"/>
          <w:szCs w:val="20"/>
        </w:rPr>
        <w:t xml:space="preserve">SR委員長自身が担当する項目(企画書 2_1 の運動(予防)の中川夏樹)は、評価の協議に第三者を加えて、統括委員長に報告する。</w:t>
      </w:r>
    </w:p>
    <w:p>
      <w:pPr>
        <w:pStyle w:val="Heading1"/>
        <w:spacing w:after="120" w:before="280"/>
      </w:pPr>
      <w:r>
        <w:rPr>
          <w:rFonts w:ascii="Yu Gothic" w:cs="Yu Gothic" w:eastAsia="Yu Gothic" w:hAnsi="Yu Gothic"/>
          <w:b/>
          <w:bCs/>
          <w:sz w:val="26"/>
          <w:szCs w:val="26"/>
        </w:rPr>
        <w:t xml:space="preserve">6. 利益相反(COI)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Yu Gothic" w:cs="Yu Gothic" w:eastAsia="Yu Gothic" w:hAnsi="Yu Gothic"/>
          <w:sz w:val="20"/>
          <w:szCs w:val="20"/>
        </w:rPr>
        <w:t xml:space="preserve">自分が筆頭著者の論文を評価に入れる場合は、評価は行ってよい。そのCQの推奨作成会議の投票には加わらない(前回Scope)。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Yu Gothic" w:cs="Yu Gothic" w:eastAsia="Yu Gothic" w:hAnsi="Yu Gothic"/>
          <w:sz w:val="20"/>
          <w:szCs w:val="20"/>
        </w:rPr>
        <w:t xml:space="preserve">SR担当は、そのCQの投票に加わらない。決定記録シートに、SR担当として自動で登録される。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Yu Gothic" w:cs="Yu Gothic" w:eastAsia="Yu Gothic" w:hAnsi="Yu Gothic"/>
          <w:sz w:val="20"/>
          <w:szCs w:val="20"/>
        </w:rPr>
        <w:t xml:space="preserve">COI台帳に、COI申告書の提出日と、企業等との関係を記録する(事務局)。</w:t>
      </w:r>
    </w:p>
    <w:p>
      <w:pPr>
        <w:pStyle w:val="Heading1"/>
        <w:spacing w:after="120" w:before="280"/>
      </w:pPr>
      <w:r>
        <w:rPr>
          <w:rFonts w:ascii="Yu Gothic" w:cs="Yu Gothic" w:eastAsia="Yu Gothic" w:hAnsi="Yu Gothic"/>
          <w:b/>
          <w:bCs/>
          <w:sz w:val="26"/>
          <w:szCs w:val="26"/>
        </w:rPr>
        <w:t xml:space="preserve">7. 書類の完成の基準(会議の前日)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100"/>
      </w:tblGrid>
      <w:tr>
        <w:trPr>
          <w:cantSplit/>
          <w:tblHeader/>
        </w:trPr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5"/>
                <w:szCs w:val="15"/>
              </w:rPr>
              <w:t xml:space="preserve">書類</w:t>
            </w:r>
          </w:p>
        </w:tc>
        <w:tc>
          <w:tcPr>
            <w:tcW w:type="dxa" w:w="6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5"/>
                <w:szCs w:val="15"/>
              </w:rPr>
              <w:t xml:space="preserve">完成の基準(書類の作成状況.xlsxで「完了」)</w:t>
            </w:r>
          </w:p>
        </w:tc>
      </w:tr>
      <w:tr>
        <w:trPr>
          <w:cantSplit/>
          <w:tblHeader w:val="off"/>
        </w:trPr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検索式と検索結果の記録</w:t>
            </w:r>
          </w:p>
        </w:tc>
        <w:tc>
          <w:tcPr>
            <w:tcW w:type="dxa" w:w="6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検索実施日、実施者、ヒット件数、重複除去後件数が記入済み</w:t>
            </w:r>
          </w:p>
        </w:tc>
      </w:tr>
      <w:tr>
        <w:trPr>
          <w:cantSplit/>
          <w:tblHeader w:val="off"/>
        </w:trPr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スクリーニング</w:t>
            </w:r>
          </w:p>
        </w:tc>
        <w:tc>
          <w:tcPr>
            <w:tcW w:type="dxa" w:w="6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全論文に二次判定があり、除外の全件に理由がある</w:t>
            </w:r>
          </w:p>
        </w:tc>
      </w:tr>
      <w:tr>
        <w:trPr>
          <w:cantSplit/>
          <w:tblHeader w:val="off"/>
        </w:trPr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研究特性</w:t>
            </w:r>
          </w:p>
        </w:tc>
        <w:tc>
          <w:tcPr>
            <w:tcW w:type="dxa" w:w="6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全論文に、化学療法の分類・薬剤・がん腫・介入・対照が記入済み</w:t>
            </w:r>
          </w:p>
        </w:tc>
      </w:tr>
      <w:tr>
        <w:trPr>
          <w:cantSplit/>
          <w:tblHeader w:val="off"/>
        </w:trPr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様式4-5</w:t>
            </w:r>
          </w:p>
        </w:tc>
        <w:tc>
          <w:tcPr>
            <w:tcW w:type="dxa" w:w="6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全評価ブロックで、2名の評価が一致、または協議のうえ確定</w:t>
            </w:r>
          </w:p>
        </w:tc>
      </w:tr>
      <w:tr>
        <w:trPr>
          <w:cantSplit/>
          <w:tblHeader w:val="off"/>
        </w:trPr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様式SR-8</w:t>
            </w:r>
          </w:p>
        </w:tc>
        <w:tc>
          <w:tcPr>
            <w:tcW w:type="dxa" w:w="6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全アウトカムで確実性(A〜D)が決定済み</w:t>
            </w:r>
          </w:p>
        </w:tc>
      </w:tr>
      <w:tr>
        <w:trPr>
          <w:cantSplit/>
          <w:tblHeader w:val="off"/>
        </w:trPr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SoF</w:t>
            </w:r>
          </w:p>
        </w:tc>
        <w:tc>
          <w:tcPr>
            <w:tcW w:type="dxa" w:w="6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SR-8のアウトカム数と同じ行数</w:t>
            </w:r>
          </w:p>
        </w:tc>
      </w:tr>
      <w:tr>
        <w:trPr>
          <w:cantSplit/>
          <w:tblHeader w:val="off"/>
        </w:trPr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推奨文草案</w:t>
            </w:r>
          </w:p>
        </w:tc>
        <w:tc>
          <w:tcPr>
            <w:tcW w:type="dxa" w:w="6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記入済み(FRQは記載草案)</w:t>
            </w:r>
          </w:p>
        </w:tc>
      </w:tr>
    </w:tbl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Yu Gothic" w:cs="Yu Gothic" w:eastAsia="Yu Gothic" w:hAnsi="Yu Gothic"/>
        <w:sz w:val="16"/>
        <w:szCs w:val="16"/>
      </w:rPr>
      <w:t xml:space="preserve">SR委員長の業務手順　</w:t>
    </w:r>
    <w:r>
      <w:rPr>
        <w:rFonts w:ascii="Yu Gothic" w:cs="Yu Gothic" w:eastAsia="Yu Gothic" w:hAnsi="Yu Gothic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・"/>
      <w:lvlJc w:val="left"/>
      <w:pPr>
        <w:ind w:left="440" w:hanging="280"/>
      </w:pPr>
    </w:lvl>
    <w:lvl w:ilvl="1" w:tentative="1">
      <w:start w:val="1"/>
      <w:numFmt w:val="bullet"/>
      <w:lvlText w:val="－"/>
      <w:lvlJc w:val="left"/>
      <w:pPr>
        <w:ind w:left="880" w:hanging="28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2026-10-26T04:35:01.640Z</dcterms:created>
  <dcterms:modified xsi:type="dcterms:W3CDTF">2026-10-26T04:35:01.640Z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