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Akerman LLP</w:t>
      </w:r>
    </w:p>
    <w:p>
      <w:pPr>
        <w:spacing w:before="0" w:after="60"/>
        <w:jc w:val="left"/>
      </w:pPr>
      <w:r>
        <w:rPr>
          <w:rFonts w:ascii="Times New Roman" w:hAnsi="Times New Roman"/>
          <w:b w:val="0"/>
          <w:color w:val="000000"/>
          <w:sz w:val="24"/>
        </w:rPr>
        <w:t>Charlotte, NC 28280</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New Business Intake Analyst position at Akerman. My current title is Client Intake Coordinator, and when I read your job description, I recognized what you are looking for because it is what I do every day — with the same emphasis on accuracy, completeness, and moving requests through the pipeline without errors or delays.</w:t>
      </w:r>
    </w:p>
    <w:p>
      <w:pPr>
        <w:spacing w:before="0" w:after="60"/>
        <w:jc w:val="left"/>
      </w:pPr>
      <w:r>
        <w:rPr>
          <w:rFonts w:ascii="Times New Roman" w:hAnsi="Times New Roman"/>
          <w:b w:val="0"/>
          <w:color w:val="000000"/>
          <w:sz w:val="24"/>
        </w:rPr>
        <w:t>At Cattie and Gonzalez, PLLC, a Medicare Secondary Payer law firm in Charlotte, I manage the full intake workflow for new and existing client matters. I review intake forms and supporting documentation to verify that everything required is present and correct before the matter moves forward. I enter and maintain client and matter data in Litify, communicate directly with attorneys and legal staff regarding missing or outstanding documentation, and follow up on everything in the queue until it is resolved. I understand that intake is not just administrative work — it is the foundation of every matter that opens in a firm, and if it is done wrong at the start, problems follow the case all the way through. That understanding shapes how carefully I approach every request.</w:t>
      </w:r>
    </w:p>
    <w:p>
      <w:pPr>
        <w:spacing w:before="0" w:after="60"/>
        <w:jc w:val="left"/>
      </w:pPr>
      <w:r>
        <w:rPr>
          <w:rFonts w:ascii="Times New Roman" w:hAnsi="Times New Roman"/>
          <w:b w:val="0"/>
          <w:color w:val="000000"/>
          <w:sz w:val="24"/>
        </w:rPr>
        <w:t>What makes me a strong fit for Akerman specifically is the scale and precision this role requires. I am comfortable working in a high-volume, deadline-driven environment where accuracy is non-negotiable. I have spent five years in legal settings where the details matter enormously, including as a Litigation Paralegal at the Department of Social Services and as a Juvenile Drug Court Program Coordinator, both of which required careful records management and consistent follow-through across multiple simultaneous matters. I type 65+ WPM, am proficient in Microsoft Office Suite, Litify, and Adobe Acrobat, and I adapt quickly to new systems and processes.</w:t>
      </w:r>
    </w:p>
    <w:p>
      <w:pPr>
        <w:spacing w:before="0" w:after="60"/>
        <w:jc w:val="left"/>
      </w:pPr>
      <w:r>
        <w:rPr>
          <w:rFonts w:ascii="Times New Roman" w:hAnsi="Times New Roman"/>
          <w:b w:val="0"/>
          <w:color w:val="000000"/>
          <w:sz w:val="24"/>
        </w:rPr>
        <w:t>I am also completing a Master of Legal Studies at Wake Forest University School of Law. My salary requirements are in the range of $55,000–$65,000. I would welcome the opportunity to bring my intake expertise and attention to detail to Akerman's New Business Intake team.</w:t>
      </w:r>
    </w:p>
    <w:p>
      <w:pPr>
        <w:spacing w:before="0" w:after="60"/>
        <w:jc w:val="left"/>
      </w:pPr>
      <w:r>
        <w:rPr>
          <w:rFonts w:ascii="Times New Roman" w:hAnsi="Times New Roman"/>
          <w:b w:val="0"/>
          <w:color w:val="000000"/>
          <w:sz w:val="24"/>
        </w:rPr>
        <w:t>Thank you for your consideration. I look forward to hearing from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