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Gardner Skelton PLLC</w:t>
      </w:r>
    </w:p>
    <w:p>
      <w:pPr>
        <w:spacing w:before="0" w:after="60"/>
        <w:jc w:val="left"/>
      </w:pPr>
      <w:r>
        <w:rPr>
          <w:rFonts w:ascii="Times New Roman" w:hAnsi="Times New Roman"/>
          <w:b w:val="0"/>
          <w:color w:val="000000"/>
          <w:sz w:val="24"/>
        </w:rPr>
        <w:t>Charlotte, NC — NoDa</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Paralegal position at Gardner Skelton. When I read about your firm — the culture, the collaborative environment, the commitment to being thoughtful and practical rather than just technically competent — I recognized the kind of place I genuinely want to work. That matters to me as much as the role itself.</w:t>
      </w:r>
    </w:p>
    <w:p>
      <w:pPr>
        <w:spacing w:before="0" w:after="60"/>
        <w:jc w:val="left"/>
      </w:pPr>
      <w:r>
        <w:rPr>
          <w:rFonts w:ascii="Times New Roman" w:hAnsi="Times New Roman"/>
          <w:b w:val="0"/>
          <w:color w:val="000000"/>
          <w:sz w:val="24"/>
        </w:rPr>
        <w:t>My paralegal background has been built in environments where I had to work independently, manage complex information, and stay ahead of what attorneys needed before they asked. At the Department of Social Services, I supported active litigation from start to finish — researching statutes and case precedent, drafting pleadings, motions, and complaints, managing discovery, and preparing complete case files for hearings and depositions. I was not waiting for direction at every step; I was identifying what needed to happen and handling it. That kind of initiative and self-direction is exactly what your posting describes, and it is how I naturally approach my work.</w:t>
      </w:r>
    </w:p>
    <w:p>
      <w:pPr>
        <w:spacing w:before="0" w:after="60"/>
        <w:jc w:val="left"/>
      </w:pPr>
      <w:r>
        <w:rPr>
          <w:rFonts w:ascii="Times New Roman" w:hAnsi="Times New Roman"/>
          <w:b w:val="0"/>
          <w:color w:val="000000"/>
          <w:sz w:val="24"/>
        </w:rPr>
        <w:t>As a Juvenile Drug Court Program Coordinator, I coordinated across attorneys, judges, treatment providers, and families, serving as the person who kept everything organized and everyone aligned. That role taught me how to communicate clearly across very different audiences — a skill that translates directly to working with clients, opposing counsel, and colleagues across a multi-practice boutique firm like Gardner Skelton.</w:t>
      </w:r>
    </w:p>
    <w:p>
      <w:pPr>
        <w:spacing w:before="0" w:after="60"/>
        <w:jc w:val="left"/>
      </w:pPr>
      <w:r>
        <w:rPr>
          <w:rFonts w:ascii="Times New Roman" w:hAnsi="Times New Roman"/>
          <w:b w:val="0"/>
          <w:color w:val="000000"/>
          <w:sz w:val="24"/>
        </w:rPr>
        <w:t>I currently work as a Client Intake Coordinator at Cattie and Gonzalez, PLLC, a Medicare Secondary Payer law firm in Charlotte, managing case documentation and client communications across multiple active matters in Litify. I am also completing a Master of Legal Studies at Wake Forest University School of Law. My background is rooted in family law and litigation, and I am genuinely excited about the opportunity to grow into new practice areas alongside a firm that values both legal excellence and the people doing the work.</w:t>
      </w:r>
    </w:p>
    <w:p>
      <w:pPr>
        <w:spacing w:before="0" w:after="60"/>
        <w:jc w:val="left"/>
      </w:pPr>
      <w:r>
        <w:rPr>
          <w:rFonts w:ascii="Times New Roman" w:hAnsi="Times New Roman"/>
          <w:b w:val="0"/>
          <w:color w:val="000000"/>
          <w:sz w:val="24"/>
        </w:rPr>
        <w:t>I would love the opportunity to speak with you about how I can contribute to Gardner Skelton. Thank you for your time.</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