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Gardner Skelton PLLC</w:t>
      </w:r>
    </w:p>
    <w:p>
      <w:pPr>
        <w:spacing w:before="0" w:after="60"/>
        <w:jc w:val="left"/>
      </w:pPr>
      <w:r>
        <w:rPr>
          <w:rFonts w:ascii="Times New Roman" w:hAnsi="Times New Roman"/>
          <w:b w:val="0"/>
          <w:color w:val="000000"/>
          <w:sz w:val="24"/>
        </w:rPr>
        <w:t>Charlotte, NC — NoDa</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at Gardner Skelton. When I read about your firm — the collaborative environment, the practical approach to client service, the culture of people who genuinely enjoy their work — I recognized the kind of place I want to be, not just a job I want. That distinction matters to me, and I want to explain why I believe I am the right fit for both the role and the team.</w:t>
      </w:r>
    </w:p>
    <w:p>
      <w:pPr>
        <w:spacing w:before="0" w:after="60"/>
        <w:jc w:val="left"/>
      </w:pPr>
      <w:r>
        <w:rPr>
          <w:rFonts w:ascii="Times New Roman" w:hAnsi="Times New Roman"/>
          <w:b w:val="0"/>
          <w:color w:val="000000"/>
          <w:sz w:val="24"/>
        </w:rPr>
        <w:t>My litigation paralegal background gives me the core skill set your posting describes. At the Department of Social Services, I worked independently to manage complex litigation matters, conducting legal research on statutes and case precedent, drafting pleadings, motions, subpoenas, complaints, and correspondence, managing discovery and document review, and preparing complete case materials for hearings and depositions. I was not handed a checklist each morning — I was expected to know what each case needed and handle it without being directed at every step. That kind of independent case management is something I have done consistently, and it is the mindset I bring to any team I work with.</w:t>
      </w:r>
    </w:p>
    <w:p>
      <w:pPr>
        <w:spacing w:before="0" w:after="60"/>
        <w:jc w:val="left"/>
      </w:pPr>
      <w:r>
        <w:rPr>
          <w:rFonts w:ascii="Times New Roman" w:hAnsi="Times New Roman"/>
          <w:b w:val="0"/>
          <w:color w:val="000000"/>
          <w:sz w:val="24"/>
        </w:rPr>
        <w:t>From my time as a Juvenile Drug Court Program Coordinator at the Fifth Judicial Circuit Solicitor's Office, I developed a different but equally important skill: the ability to gather, organize, and communicate complex information clearly across very different audiences. I coordinated across attorneys, judges, treatment providers, social workers, and families, serving as the central point of contact who kept everyone aligned and on track. That experience sharpened my communication skills and my ability to manage complicated, multi-party processes — skills that apply directly to the multi-practice environment at Gardner Skelton, where cases touch employment law, business litigation, healthcare, construction, and more.</w:t>
      </w:r>
    </w:p>
    <w:p>
      <w:pPr>
        <w:spacing w:before="0" w:after="60"/>
        <w:jc w:val="left"/>
      </w:pPr>
      <w:r>
        <w:rPr>
          <w:rFonts w:ascii="Times New Roman" w:hAnsi="Times New Roman"/>
          <w:b w:val="0"/>
          <w:color w:val="000000"/>
          <w:sz w:val="24"/>
        </w:rPr>
        <w:t>My personal injury work at The Wilson Law Firm also contributes to my fit here. In that role, I supported attorneys on cases from intake through settlement — drafting legal documents, summarizing medical records, preparing settlement documentation, and managing case files — which gave me experience in a private firm litigation environment that complements my government legal background.</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where I manage client communications, prepare and proofread legal documents, and maintain case records across multiple matters in Litify. I am also completing a Master of Legal Studies at Wake Forest University School of Law. My background is rooted in litigation support and family law, and I am genuinely energized by the opportunity to grow into new areas alongside a firm that values both legal excellence and the people doing the work.</w:t>
      </w:r>
    </w:p>
    <w:p>
      <w:pPr>
        <w:spacing w:before="0" w:after="60"/>
        <w:jc w:val="left"/>
      </w:pPr>
      <w:r>
        <w:rPr>
          <w:rFonts w:ascii="Times New Roman" w:hAnsi="Times New Roman"/>
          <w:b w:val="0"/>
          <w:color w:val="000000"/>
          <w:sz w:val="24"/>
        </w:rPr>
        <w:t>I would welcome the opportunity to speak with you about how my experience and approach can contribute to Gardner Skelton. Thank you for your time.</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