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MYEISHA L. CHEEK</w:t>
      </w:r>
    </w:p>
    <w:p>
      <w:pPr>
        <w:spacing w:before="0" w:after="60"/>
        <w:jc w:val="left"/>
      </w:pPr>
      <w:r>
        <w:rPr>
          <w:rFonts w:ascii="Times New Roman" w:hAnsi="Times New Roman"/>
          <w:b w:val="0"/>
          <w:color w:val="000000"/>
          <w:sz w:val="24"/>
        </w:rPr>
        <w:t>Charlotte, NC 28273 | 864-398-3096 | myeishacheek05@gmail.com | linkedin.com/in/myeisha-cheek-</w:t>
      </w:r>
    </w:p>
    <w:p>
      <w:pPr>
        <w:spacing w:before="40" w:after="40"/>
        <w:pBdr>
          <w:bottom w:val="single" w:sz="6" w:space="1" w:color="000000"/>
        </w:pBdr>
      </w:pPr>
    </w:p>
    <w:p>
      <w:pPr>
        <w:spacing w:before="0" w:after="60"/>
        <w:jc w:val="left"/>
      </w:pPr>
      <w:r>
        <w:rPr>
          <w:rFonts w:ascii="Times New Roman" w:hAnsi="Times New Roman"/>
          <w:b w:val="0"/>
          <w:color w:val="000000"/>
          <w:sz w:val="24"/>
        </w:rPr>
        <w:t>June 30, 2026</w:t>
      </w:r>
    </w:p>
    <w:p>
      <w:pPr>
        <w:spacing w:before="0" w:after="60"/>
        <w:jc w:val="left"/>
      </w:pPr>
      <w:r>
        <w:rPr>
          <w:rFonts w:ascii="Times New Roman" w:hAnsi="Times New Roman"/>
          <w:b w:val="0"/>
          <w:color w:val="000000"/>
          <w:sz w:val="24"/>
        </w:rPr>
        <w:t>Hiring Manager</w:t>
      </w:r>
    </w:p>
    <w:p>
      <w:pPr>
        <w:spacing w:before="0" w:after="60"/>
        <w:jc w:val="left"/>
      </w:pPr>
      <w:r>
        <w:rPr>
          <w:rFonts w:ascii="Times New Roman" w:hAnsi="Times New Roman"/>
          <w:b w:val="0"/>
          <w:color w:val="000000"/>
          <w:sz w:val="24"/>
        </w:rPr>
        <w:t>Akerman LLP</w:t>
      </w:r>
    </w:p>
    <w:p>
      <w:pPr>
        <w:spacing w:before="0" w:after="60"/>
        <w:jc w:val="left"/>
      </w:pPr>
      <w:r>
        <w:rPr>
          <w:rFonts w:ascii="Times New Roman" w:hAnsi="Times New Roman"/>
          <w:b w:val="0"/>
          <w:color w:val="000000"/>
          <w:sz w:val="24"/>
        </w:rPr>
        <w:t>Charlotte, NC 28280</w:t>
      </w:r>
    </w:p>
    <w:p>
      <w:pPr>
        <w:spacing w:before="0" w:after="60"/>
        <w:jc w:val="left"/>
      </w:pPr>
      <w:r>
        <w:rPr>
          <w:rFonts w:ascii="Times New Roman" w:hAnsi="Times New Roman"/>
          <w:b w:val="0"/>
          <w:color w:val="000000"/>
          <w:sz w:val="24"/>
        </w:rPr>
        <w:t>Dear Hiring Manager,</w:t>
      </w:r>
    </w:p>
    <w:p>
      <w:pPr>
        <w:spacing w:before="0" w:after="60"/>
        <w:jc w:val="left"/>
      </w:pPr>
      <w:r>
        <w:rPr>
          <w:rFonts w:ascii="Times New Roman" w:hAnsi="Times New Roman"/>
          <w:b w:val="0"/>
          <w:color w:val="000000"/>
          <w:sz w:val="24"/>
        </w:rPr>
        <w:t>I am writing to apply for the New Business Intake Analyst position at Akerman LLP. My current title is Client Intake Coordinator, and when I read through your job description, I was struck by how closely it mirrors what I do every day. This is not a role I am pivoting toward — it is a role that reflects the work I have already built expertise in, at a firm that would allow me to apply that expertise at a significantly higher level.</w:t>
      </w:r>
    </w:p>
    <w:p>
      <w:pPr>
        <w:spacing w:before="0" w:after="60"/>
        <w:jc w:val="left"/>
      </w:pPr>
      <w:r>
        <w:rPr>
          <w:rFonts w:ascii="Times New Roman" w:hAnsi="Times New Roman"/>
          <w:b w:val="0"/>
          <w:color w:val="000000"/>
          <w:sz w:val="24"/>
        </w:rPr>
        <w:t>At Cattie and Gonzalez, PLLC, a Medicare Secondary Payer law firm in Charlotte, I manage the full intake workflow for new and existing client matters. I review incoming intake forms and supporting documentation to verify that all required materials are present, accurate, and complete before a matter moves forward. I enter and maintain client and matter data in Litify, which filters into other firm systems — a process directly parallel to the conflicts database and firm system workflow you describe. I communicate with attorneys and legal staff about missing documentation, follow up on outstanding items in the intake queue, and make sure every matter is opened correctly and efficiently. I understand that intake is the foundation of every case that enters a firm, and that if it is handled carelessly, the problems that result can follow a matter for its entire life. That understanding is what drives the level of care I bring to every request I process.</w:t>
      </w:r>
    </w:p>
    <w:p>
      <w:pPr>
        <w:spacing w:before="0" w:after="60"/>
        <w:jc w:val="left"/>
      </w:pPr>
      <w:r>
        <w:rPr>
          <w:rFonts w:ascii="Times New Roman" w:hAnsi="Times New Roman"/>
          <w:b w:val="0"/>
          <w:color w:val="000000"/>
          <w:sz w:val="24"/>
        </w:rPr>
        <w:t>Before my current role, I spent two years as a Litigation Paralegal at the Department of Social Services, where I managed complex case files, performed data entry and records review, coordinated with attorneys and legal staff across multiple simultaneous matters, and maintained strict confidentiality with sensitive information. That experience gave me a strong understanding of how legal information flows through a large organization and the importance of getting every detail right at the point of entry.</w:t>
      </w:r>
    </w:p>
    <w:p>
      <w:pPr>
        <w:spacing w:before="0" w:after="60"/>
        <w:jc w:val="left"/>
      </w:pPr>
      <w:r>
        <w:rPr>
          <w:rFonts w:ascii="Times New Roman" w:hAnsi="Times New Roman"/>
          <w:b w:val="0"/>
          <w:color w:val="000000"/>
          <w:sz w:val="24"/>
        </w:rPr>
        <w:t>My time as a Juvenile Drug Court Program Coordinator at the Fifth Judicial Circuit Solicitor's Office also contributed directly to the skills this role requires. I managed onboarding and intake processes for new program participants, tracked compliance and documentation requirements across multiple parties, and followed up consistently to make sure nothing fell through the cracks. Working in a government legal office at that level taught me how to operate in a high-volume, high-accountability environment where accuracy and timeliness are non-negotiable.</w:t>
      </w:r>
    </w:p>
    <w:p>
      <w:pPr>
        <w:spacing w:before="0" w:after="60"/>
        <w:jc w:val="left"/>
      </w:pPr>
      <w:r>
        <w:rPr>
          <w:rFonts w:ascii="Times New Roman" w:hAnsi="Times New Roman"/>
          <w:b w:val="0"/>
          <w:color w:val="000000"/>
          <w:sz w:val="24"/>
        </w:rPr>
        <w:t>I type 65+ WPM, am proficient in Microsoft Office Suite, Litify, and Adobe Acrobat, and adapt quickly to new systems and processes. I am also completing a Master of Legal Studies at Wake Forest University School of Law. For an intake role at a firm of Akerman's scale and complexity, that academic background matters — it has given me a stronger understanding of legal ethics, conflicts principles, and the regulatory frameworks that govern how law firms open and manage client matters. That means I do not just process intake forms mechanically — I understand why the requirements exist and what happens when they are not met. My salary requirements are in the range of $55,000–$65,000. I am confident that my intake experience, legal background, and attention to detail would make me a strong contributor to Akerman's New Business Intake team.</w:t>
      </w:r>
    </w:p>
    <w:p>
      <w:pPr>
        <w:spacing w:before="0" w:after="60"/>
        <w:jc w:val="left"/>
      </w:pPr>
      <w:r>
        <w:rPr>
          <w:rFonts w:ascii="Times New Roman" w:hAnsi="Times New Roman"/>
          <w:b w:val="0"/>
          <w:color w:val="000000"/>
          <w:sz w:val="24"/>
        </w:rPr>
        <w:t>Thank you for your time and consideration. I look forward to speaking with you.</w:t>
      </w:r>
    </w:p>
    <w:p>
      <w:pPr>
        <w:spacing w:before="0" w:after="60"/>
        <w:jc w:val="left"/>
      </w:pPr>
      <w:r>
        <w:rPr>
          <w:rFonts w:ascii="Times New Roman" w:hAnsi="Times New Roman"/>
          <w:b w:val="0"/>
          <w:color w:val="000000"/>
          <w:sz w:val="24"/>
        </w:rPr>
        <w:t>Sincerely,</w:t>
      </w:r>
    </w:p>
    <w:p>
      <w:pPr>
        <w:spacing w:before="0" w:after="60"/>
        <w:jc w:val="left"/>
      </w:pPr>
      <w:r>
        <w:rPr>
          <w:rFonts w:ascii="Times New Roman" w:hAnsi="Times New Roman"/>
          <w:b w:val="0"/>
          <w:color w:val="000000"/>
          <w:sz w:val="24"/>
        </w:rPr>
        <w:t>Myeisha L. Cheek</w:t>
      </w:r>
    </w:p>
    <w:p>
      <w:pPr>
        <w:spacing w:before="0" w:after="60"/>
        <w:jc w:val="left"/>
      </w:pPr>
      <w:r>
        <w:rPr>
          <w:rFonts w:ascii="Times New Roman" w:hAnsi="Times New Roman"/>
          <w:b w:val="0"/>
          <w:color w:val="000000"/>
          <w:sz w:val="24"/>
        </w:rPr>
        <w:t>864-398-3096 | myeishacheek05@gmail.com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