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June 30, 2026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Hiring Manager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Beacon Hill Legal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— South End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apply for the Family Law Paralegal position with your Charlotte office. Family law is where I built my paralegal career, and it is the area where I am most confident in my ability to step in, get up to speed immediately, and provide real value to a legal team from day one.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At the Department of Social Services, I was embedded in family court litigation every day — drafting pleadings, motions, discovery requests and responses, financial documents, and correspondence for court submission, while managing case files and court calendars across multiple active matters simultaneously. More importantly, I understood the human side of that work. Family law clients are not just files — they are people going through some of the hardest moments of their lives. I served as a direct point of contact for those clients, and I made it a priority to communicate clearly, respond promptly, and make sure they always knew where their case stood. That kind of consistent, compassionate client communication is something I take seriously, and it is exactly what your clients need.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As a Juvenile Drug Court Program Coordinator at the Fifth Judicial Circuit Solicitor's Office, I supported attorneys in family court proceedings and coordinated across legal counsel, social workers, judges, and families. That experience reinforced something I already believed: that a great paralegal does not just manage paperwork — they help hold the whole process together for everyone involved.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currently based in Charlotte and working as a Client Intake Coordinator at Cattie and Gonzalez, PLLC, a Medicare Secondary Payer law firm, where I manage client communications, draft legal documents, and maintain case records in Litify. I can adapt to MyCase quickly and am available to start immediately. I would welcome the chance to bring my family law experience and client-first approach to your team.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Thank you for your time. I look forward to the conversation.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864-398-3096 | myeishacheek05@gmail.com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