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Rosensteel Fleishman, PLLC</w:t>
      </w:r>
    </w:p>
    <w:p>
      <w:pPr>
        <w:spacing w:before="0" w:after="60"/>
        <w:jc w:val="left"/>
      </w:pPr>
      <w:r>
        <w:rPr>
          <w:rFonts w:ascii="Times New Roman" w:hAnsi="Times New Roman"/>
          <w:b w:val="0"/>
          <w:color w:val="000000"/>
          <w:sz w:val="24"/>
        </w:rPr>
        <w:t>Charlotte, NC 28204</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Plaintiff's Litigation Personal Injury Paralegal position at Rosensteel Fleishman, PLLC. Personal injury was where I started my paralegal career, and it is work I am both experienced in and genuinely committed to — because at the end of the day, you are helping real people fight for what they deserve after something went wrong in their life. That purpose drives how I show up every day.</w:t>
      </w:r>
    </w:p>
    <w:p>
      <w:pPr>
        <w:spacing w:before="0" w:after="60"/>
        <w:jc w:val="left"/>
      </w:pPr>
      <w:r>
        <w:rPr>
          <w:rFonts w:ascii="Times New Roman" w:hAnsi="Times New Roman"/>
          <w:b w:val="0"/>
          <w:color w:val="000000"/>
          <w:sz w:val="24"/>
        </w:rPr>
        <w:t>At The Wilson Law Firm, I managed personal injury cases from intake through settlement. That meant drafting settlement documents and legal correspondence, requesting and tracking medical records and billing documentation, reviewing and summarizing medical records to support case valuation, and verifying account balances with medical providers. I was not just processing paperwork — I was building the case alongside the attorneys, making sure every piece of documentation was in order so that clients received the best possible outcome. I understand the details that matter in a personal injury case, and I know how to handle them.</w:t>
      </w:r>
    </w:p>
    <w:p>
      <w:pPr>
        <w:spacing w:before="0" w:after="60"/>
        <w:jc w:val="left"/>
      </w:pPr>
      <w:r>
        <w:rPr>
          <w:rFonts w:ascii="Times New Roman" w:hAnsi="Times New Roman"/>
          <w:b w:val="0"/>
          <w:color w:val="000000"/>
          <w:sz w:val="24"/>
        </w:rPr>
        <w:t>After that, I deepened my litigation skills at the Department of Social Services, where I drafted pleadings, motions, discovery requests and responses, and court orders, and kept cases moving across multiple active matters. That experience made me a stronger paralegal — more organized, more proactive, and better at managing the kinds of competing deadlines that come with a busy plaintiff's practice. I bring all of that to the table here.</w:t>
      </w:r>
    </w:p>
    <w:p>
      <w:pPr>
        <w:spacing w:before="0" w:after="60"/>
        <w:jc w:val="left"/>
      </w:pPr>
      <w:r>
        <w:rPr>
          <w:rFonts w:ascii="Times New Roman" w:hAnsi="Times New Roman"/>
          <w:b w:val="0"/>
          <w:color w:val="000000"/>
          <w:sz w:val="24"/>
        </w:rPr>
        <w:t>I currently serve as a Client Intake Coordinator at Cattie and Gonzalez, PLLC, a Medicare Secondary Payer law firm in Charlotte, where I manage the full intake and documentation process for new and ongoing matters. I am also completing a Master of Legal Studies at Wake Forest University School of Law. I am looking for a firm where I can apply everything I have learned, grow as a legal professional, and make a real difference for the clients your firm represents.</w:t>
      </w:r>
    </w:p>
    <w:p>
      <w:pPr>
        <w:spacing w:before="0" w:after="60"/>
        <w:jc w:val="left"/>
      </w:pPr>
      <w:r>
        <w:rPr>
          <w:rFonts w:ascii="Times New Roman" w:hAnsi="Times New Roman"/>
          <w:b w:val="0"/>
          <w:color w:val="000000"/>
          <w:sz w:val="24"/>
        </w:rPr>
        <w:t>Thank you for your time and consideration. I look forward to speaking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