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Mecklenburg County Office of the County Attorney</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supporting the Child Support Enforcement, Youth and Family Services, or Services for Adults division. I want to be direct about why I believe I am the right person for this role: I have not just done work adjacent to what this position requires — I have done this exact work, in this exact setting, at a government agency serving families in the legal system. That experience is not something I am trying to translate. It transfers directly.</w:t>
      </w:r>
    </w:p>
    <w:p>
      <w:pPr>
        <w:spacing w:before="0" w:after="60"/>
        <w:jc w:val="left"/>
      </w:pPr>
      <w:r>
        <w:rPr>
          <w:rFonts w:ascii="Times New Roman" w:hAnsi="Times New Roman"/>
          <w:b w:val="0"/>
          <w:color w:val="000000"/>
          <w:sz w:val="24"/>
        </w:rPr>
        <w:t>From May 2021 to February 2023, I worked as a Litigation Paralegal at the Department of Social Services in Columbia, South Carolina. Every day in that role looked like what this job description outlines. I drafted pleadings, motions, complaints, subpoenas, and court orders for attorney review and court submission. I managed discovery requests and responses, organized and reviewed case materials, and prepared complete documentation for hearings and court appearances so that attorneys walked in fully prepared. I maintained court calendars, tracked critical deadlines, and made sure every filing met procedural requirements. I communicated regularly with clients, opposing counsel, court personnel, and outside agencies — because in a government legal office, the work does not happen in isolation. It happens through constant coordination, and I was the person who kept that coordination running smoothly.</w:t>
      </w:r>
    </w:p>
    <w:p>
      <w:pPr>
        <w:spacing w:before="0" w:after="60"/>
        <w:jc w:val="left"/>
      </w:pPr>
      <w:r>
        <w:rPr>
          <w:rFonts w:ascii="Times New Roman" w:hAnsi="Times New Roman"/>
          <w:b w:val="0"/>
          <w:color w:val="000000"/>
          <w:sz w:val="24"/>
        </w:rPr>
        <w:t>What makes that experience especially relevant here is the nature of the cases. At DSS, I worked on child welfare litigation, termination of parental rights proceedings, and custody disputes — the same categories of matters your Child Support Enforcement and Youth and Family Services attorneys handle. I understand the weight of that work. These are not abstract legal disputes. They involve real families, children, and outcomes that change lives. I took that seriously then, and I would take it seriously here.</w:t>
      </w:r>
    </w:p>
    <w:p>
      <w:pPr>
        <w:spacing w:before="0" w:after="60"/>
        <w:jc w:val="left"/>
      </w:pPr>
      <w:r>
        <w:rPr>
          <w:rFonts w:ascii="Times New Roman" w:hAnsi="Times New Roman"/>
          <w:b w:val="0"/>
          <w:color w:val="000000"/>
          <w:sz w:val="24"/>
        </w:rPr>
        <w:t>As a Juvenile Drug Court Program Coordinator with the Fifth Judicial Circuit Solicitor's Office, I continued to work at the intersection of law and family services, coordinating across attorneys, judges, social workers, and treatment providers to support court-ordered outcomes for juvenile clients and their families. I served as the primary point of contact for families navigating a system that can feel overwhelming, and I provided clear, consistent guidance throughout the process. That experience reinforced my ability to communicate professionally under pressure and to represent a government legal office with the level of compassion and competence that the public deserves.</w:t>
      </w:r>
    </w:p>
    <w:p>
      <w:pPr>
        <w:spacing w:before="0" w:after="60"/>
        <w:jc w:val="left"/>
      </w:pPr>
      <w:r>
        <w:rPr>
          <w:rFonts w:ascii="Times New Roman" w:hAnsi="Times New Roman"/>
          <w:b w:val="0"/>
          <w:color w:val="000000"/>
          <w:sz w:val="24"/>
        </w:rPr>
        <w:t>Currently, as a Client Intake Coordinator at Cattie and Gonzalez, PLLC — a Medicare Secondary Payer law firm in Charlotte — I manage legal documentation, client communications, and case records in Litify across multiple active matters. I am also completing a Master of Legal Studies at Wake Forest University School of Law — a program that has deepened my understanding of legal procedure, statutory interpretation, and government regulatory frameworks. That academic foundation strengthens my ability to conduct legal research, draft accurate legal documents, and understand the procedural requirements that govern the work your office does every day. It means I am not just experienced in the tasks — I understand the legal principles behind them, which makes me a more effective and reliable member of a legal team.</w:t>
      </w:r>
    </w:p>
    <w:p>
      <w:pPr>
        <w:spacing w:before="0" w:after="60"/>
        <w:jc w:val="left"/>
      </w:pPr>
      <w:r>
        <w:rPr>
          <w:rFonts w:ascii="Times New Roman" w:hAnsi="Times New Roman"/>
          <w:b w:val="0"/>
          <w:color w:val="000000"/>
          <w:sz w:val="24"/>
        </w:rPr>
        <w:t>Mecklenburg County is where I live and where I want to do meaningful work. I am confident I can step into this role and contribute from day one. Thank you for your time and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