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Charlotte, NC</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Paralegal position with your firm. With over five years of experience managing litigation matters from intake through resolution — primarily in family law and civil proceedings — I am confident that my background aligns closely with what your team needs and that I can contribute meaningfully from the start.</w:t>
      </w:r>
    </w:p>
    <w:p>
      <w:pPr>
        <w:spacing w:before="0" w:after="60"/>
        <w:jc w:val="left"/>
      </w:pPr>
      <w:r>
        <w:rPr>
          <w:rFonts w:ascii="Times New Roman" w:hAnsi="Times New Roman"/>
          <w:b w:val="0"/>
          <w:color w:val="000000"/>
          <w:sz w:val="24"/>
        </w:rPr>
        <w:t>My experience as a Litigation Paralegal at the Department of Social Services gave me a strong foundation in exactly the kind of work this role requires. I supported attorneys on active family law cases including custody disputes, child welfare matters, and termination of parental rights proceedings, handling each matter from initial intake through final resolution. That meant drafting pleadings, motions, judgments, court orders, and discovery documents; preparing and organizing exhibits and case materials for hearings; managing court calendars and deadline tracking across multiple simultaneous matters; and communicating directly with clients, opposing counsel, and court staff throughout. I did not just support this process — I owned it. Attorneys relied on me to keep cases organized and on schedule, and I delivered consistently.</w:t>
      </w:r>
    </w:p>
    <w:p>
      <w:pPr>
        <w:spacing w:before="0" w:after="60"/>
        <w:jc w:val="left"/>
      </w:pPr>
      <w:r>
        <w:rPr>
          <w:rFonts w:ascii="Times New Roman" w:hAnsi="Times New Roman"/>
          <w:b w:val="0"/>
          <w:color w:val="000000"/>
          <w:sz w:val="24"/>
        </w:rPr>
        <w:t>What also makes me a strong fit for a family law and civil litigation practice is my understanding of the client relationship in this work. From my time at DSS and as a Juvenile Drug Court Program Coordinator at the Fifth Judicial Circuit Solicitor's Office, I regularly served as the primary point of contact for clients navigating complex and emotional legal situations. I learned how to communicate with clarity and compassion while keeping things professional and focused — because clients in family law and civil matters need both. I brought that approach to every interaction, and it is something I continue to prioritize.</w:t>
      </w:r>
    </w:p>
    <w:p>
      <w:pPr>
        <w:spacing w:before="0" w:after="60"/>
        <w:jc w:val="left"/>
      </w:pPr>
      <w:r>
        <w:rPr>
          <w:rFonts w:ascii="Times New Roman" w:hAnsi="Times New Roman"/>
          <w:b w:val="0"/>
          <w:color w:val="000000"/>
          <w:sz w:val="24"/>
        </w:rPr>
        <w:t>My role as a Juvenile Drug Court Program Coordinator also expanded my ability to manage complex multi-party coordination — scheduling and tracking across attorneys, judges, treatment agencies, social workers, and families simultaneously. That experience reinforced the organizational systems and proactive communication habits I had already built, and it made me a more effective paralegal across every type of matter I have supported since.</w:t>
      </w:r>
    </w:p>
    <w:p>
      <w:pPr>
        <w:spacing w:before="0" w:after="60"/>
        <w:jc w:val="left"/>
      </w:pPr>
      <w:r>
        <w:rPr>
          <w:rFonts w:ascii="Times New Roman" w:hAnsi="Times New Roman"/>
          <w:b w:val="0"/>
          <w:color w:val="000000"/>
          <w:sz w:val="24"/>
        </w:rPr>
        <w:t>I currently work as a Client Intake Coordinator at Cattie and Gonzalez, PLLC, a Medicare Secondary Payer law firm in Charlotte, supporting attorneys across multiple active matters, managing case records in Litify, and ensuring client communications and documentation are handled accurately and on time. I am also completing a Master of Legal Studies at Wake Forest University School of Law. For a firm that handles both family law and civil litigation, that degree is directly relevant — the program has strengthened my legal research and analysis skills, my understanding of civil procedure, and my ability to engage with complex legal issues across practice areas. It means I contribute at a higher level than a paralegal who only understands the process — I understand the law, which makes me better at supporting the attorneys who apply it.</w:t>
      </w:r>
    </w:p>
    <w:p>
      <w:pPr>
        <w:spacing w:before="0" w:after="60"/>
        <w:jc w:val="left"/>
      </w:pPr>
      <w:r>
        <w:rPr>
          <w:rFonts w:ascii="Times New Roman" w:hAnsi="Times New Roman"/>
          <w:b w:val="0"/>
          <w:color w:val="000000"/>
          <w:sz w:val="24"/>
        </w:rPr>
        <w:t>I am looking for a firm where I can take on real responsibility and grow as a legal professional. I believe your team is that place, and I would welcome the opportunity to prove it.</w:t>
      </w:r>
    </w:p>
    <w:p>
      <w:pPr>
        <w:spacing w:before="0" w:after="60"/>
        <w:jc w:val="left"/>
      </w:pPr>
      <w:r>
        <w:rPr>
          <w:rFonts w:ascii="Times New Roman" w:hAnsi="Times New Roman"/>
          <w:b w:val="0"/>
          <w:color w:val="000000"/>
          <w:sz w:val="24"/>
        </w:rPr>
        <w:t>Thank you for your time and consideration.</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