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2"/>
        </w:rPr>
        <w:t>MYEISHA L. CHEEK</w:t>
      </w:r>
    </w:p>
    <w:p>
      <w:pPr>
        <w:spacing w:before="0" w:after="60"/>
        <w:jc w:val="left"/>
      </w:pPr>
      <w:r>
        <w:rPr>
          <w:rFonts w:ascii="Times New Roman" w:hAnsi="Times New Roman"/>
          <w:b w:val="0"/>
          <w:color w:val="000000"/>
          <w:sz w:val="24"/>
        </w:rPr>
        <w:t>Charlotte, NC 28273 | 864-398-3096 | myeishacheek05@gmail.com | linkedin.com/in/myeisha-cheek-</w:t>
      </w:r>
    </w:p>
    <w:p>
      <w:pPr>
        <w:spacing w:before="40" w:after="40"/>
        <w:pBdr>
          <w:bottom w:val="single" w:sz="6" w:space="1" w:color="000000"/>
        </w:pBdr>
      </w:pPr>
    </w:p>
    <w:p>
      <w:pPr>
        <w:spacing w:before="0" w:after="60"/>
        <w:jc w:val="left"/>
      </w:pPr>
      <w:r>
        <w:rPr>
          <w:rFonts w:ascii="Times New Roman" w:hAnsi="Times New Roman"/>
          <w:b w:val="0"/>
          <w:color w:val="000000"/>
          <w:sz w:val="24"/>
        </w:rPr>
        <w:t>June 30, 2026</w:t>
      </w:r>
    </w:p>
    <w:p>
      <w:pPr>
        <w:spacing w:before="0" w:after="60"/>
        <w:jc w:val="left"/>
      </w:pPr>
      <w:r>
        <w:rPr>
          <w:rFonts w:ascii="Times New Roman" w:hAnsi="Times New Roman"/>
          <w:b w:val="0"/>
          <w:color w:val="000000"/>
          <w:sz w:val="24"/>
        </w:rPr>
        <w:t>Hiring Manager</w:t>
      </w:r>
    </w:p>
    <w:p>
      <w:pPr>
        <w:spacing w:before="0" w:after="60"/>
        <w:jc w:val="left"/>
      </w:pPr>
      <w:r>
        <w:rPr>
          <w:rFonts w:ascii="Times New Roman" w:hAnsi="Times New Roman"/>
          <w:b w:val="0"/>
          <w:color w:val="000000"/>
          <w:sz w:val="24"/>
        </w:rPr>
        <w:t>Gardner Skelton PLLC</w:t>
      </w:r>
    </w:p>
    <w:p>
      <w:pPr>
        <w:spacing w:before="0" w:after="60"/>
        <w:jc w:val="left"/>
      </w:pPr>
      <w:r>
        <w:rPr>
          <w:rFonts w:ascii="Times New Roman" w:hAnsi="Times New Roman"/>
          <w:b w:val="0"/>
          <w:color w:val="000000"/>
          <w:sz w:val="24"/>
        </w:rPr>
        <w:t>Charlotte, NC — NoDa</w:t>
      </w:r>
    </w:p>
    <w:p>
      <w:pPr>
        <w:spacing w:before="0" w:after="60"/>
        <w:jc w:val="left"/>
      </w:pPr>
      <w:r>
        <w:rPr>
          <w:rFonts w:ascii="Times New Roman" w:hAnsi="Times New Roman"/>
          <w:b w:val="0"/>
          <w:color w:val="000000"/>
          <w:sz w:val="24"/>
        </w:rPr>
        <w:t>Dear Hiring Manager,</w:t>
      </w:r>
    </w:p>
    <w:p>
      <w:pPr>
        <w:spacing w:before="0" w:after="60"/>
        <w:jc w:val="left"/>
      </w:pPr>
      <w:r>
        <w:rPr>
          <w:rFonts w:ascii="Times New Roman" w:hAnsi="Times New Roman"/>
          <w:b w:val="0"/>
          <w:color w:val="000000"/>
          <w:sz w:val="24"/>
        </w:rPr>
        <w:t>I am writing to apply for the Paralegal position at Gardner Skelton. When I read about your firm — the collaborative environment, the practical approach to client service, the culture of people who genuinely enjoy their work — I recognized the kind of place I want to be, not just a job I want. That distinction matters to me, and I want to explain why I believe I am the right fit for both the role and the team.</w:t>
      </w:r>
    </w:p>
    <w:p>
      <w:pPr>
        <w:spacing w:before="0" w:after="60"/>
        <w:jc w:val="left"/>
      </w:pPr>
      <w:r>
        <w:rPr>
          <w:rFonts w:ascii="Times New Roman" w:hAnsi="Times New Roman"/>
          <w:b w:val="0"/>
          <w:color w:val="000000"/>
          <w:sz w:val="24"/>
        </w:rPr>
        <w:t>My litigation paralegal background gives me the core skill set your posting describes. At the Department of Social Services, I worked independently to manage complex litigation matters, conducting legal research on statutes and case precedent, drafting pleadings, motions, subpoenas, complaints, and correspondence, managing discovery and document review, and preparing complete case materials for hearings and depositions. I was not handed a checklist each morning — I was expected to know what each case needed and handle it without being directed at every step. That kind of independent case management is something I have done consistently, and it is the mindset I bring to any team I work with.</w:t>
      </w:r>
    </w:p>
    <w:p>
      <w:pPr>
        <w:spacing w:before="0" w:after="60"/>
        <w:jc w:val="left"/>
      </w:pPr>
      <w:r>
        <w:rPr>
          <w:rFonts w:ascii="Times New Roman" w:hAnsi="Times New Roman"/>
          <w:b w:val="0"/>
          <w:color w:val="000000"/>
          <w:sz w:val="24"/>
        </w:rPr>
        <w:t>From my time as a Juvenile Drug Court Program Coordinator at the Fifth Judicial Circuit Solicitor's Office, I developed a different but equally important skill: the ability to gather, organize, and communicate complex information clearly across very different audiences. I coordinated across attorneys, judges, treatment providers, social workers, and families, serving as the central point of contact who kept everyone aligned and on track. That experience sharpened my communication skills and my ability to manage complicated, multi-party processes — skills that apply directly to the multi-practice environment at Gardner Skelton, where cases touch employment law, business litigation, healthcare, construction, and more.</w:t>
      </w:r>
    </w:p>
    <w:p>
      <w:pPr>
        <w:spacing w:before="0" w:after="60"/>
        <w:jc w:val="left"/>
      </w:pPr>
      <w:r>
        <w:rPr>
          <w:rFonts w:ascii="Times New Roman" w:hAnsi="Times New Roman"/>
          <w:b w:val="0"/>
          <w:color w:val="000000"/>
          <w:sz w:val="24"/>
        </w:rPr>
        <w:t>My personal injury work at The Wilson Law Firm also contributes to my fit here. In that role, I supported attorneys on cases from intake through settlement — drafting legal documents, summarizing medical records, preparing settlement documentation, and managing case files — which gave me experience in a private firm litigation environment that complements my government legal background.</w:t>
      </w:r>
    </w:p>
    <w:p>
      <w:pPr>
        <w:spacing w:before="0" w:after="60"/>
        <w:jc w:val="left"/>
      </w:pPr>
      <w:r>
        <w:rPr>
          <w:rFonts w:ascii="Times New Roman" w:hAnsi="Times New Roman"/>
          <w:b w:val="0"/>
          <w:color w:val="000000"/>
          <w:sz w:val="24"/>
        </w:rPr>
        <w:t>Currently, I work as a Client Intake Coordinator at Cattie and Gonzalez, PLLC, a Medicare Secondary Payer law firm in Charlotte, where I manage client communications, prepare and proofread legal documents, and maintain case records across multiple matters in Litify. I am also completing a Master of Legal Studies at Wake Forest University School of Law — and I want to be specific about why that matters for this role. Gardner Skelton works across employment law, business litigation, corporate guidance, healthcare law, construction, and tax. The MLS program has exposed me to legal analysis across multiple practice areas, which means I am not coming in with tunnel vision from one area of law. I understand how to research, analyze, and apply legal principles across different contexts — and that analytical foundation makes me a more effective paralegal in a multi-practice firm like yours, where cases do not always fit neatly into one category. My background is rooted in litigation support and family law, and I am genuinely energized by the opportunity to grow into new areas alongside a firm that values both legal excellence and the people doing the work.</w:t>
      </w:r>
    </w:p>
    <w:p>
      <w:pPr>
        <w:spacing w:before="0" w:after="60"/>
        <w:jc w:val="left"/>
      </w:pPr>
      <w:r>
        <w:rPr>
          <w:rFonts w:ascii="Times New Roman" w:hAnsi="Times New Roman"/>
          <w:b w:val="0"/>
          <w:color w:val="000000"/>
          <w:sz w:val="24"/>
        </w:rPr>
        <w:t>I would welcome the opportunity to speak with you about how my experience and approach can contribute to Gardner Skelton. Thank you for your time.</w:t>
      </w:r>
    </w:p>
    <w:p>
      <w:pPr>
        <w:spacing w:before="0" w:after="60"/>
        <w:jc w:val="left"/>
      </w:pPr>
      <w:r>
        <w:rPr>
          <w:rFonts w:ascii="Times New Roman" w:hAnsi="Times New Roman"/>
          <w:b w:val="0"/>
          <w:color w:val="000000"/>
          <w:sz w:val="24"/>
        </w:rPr>
        <w:t>Sincerely,</w:t>
      </w:r>
    </w:p>
    <w:p>
      <w:pPr>
        <w:spacing w:before="0" w:after="60"/>
        <w:jc w:val="left"/>
      </w:pPr>
      <w:r>
        <w:rPr>
          <w:rFonts w:ascii="Times New Roman" w:hAnsi="Times New Roman"/>
          <w:b w:val="0"/>
          <w:color w:val="000000"/>
          <w:sz w:val="24"/>
        </w:rPr>
        <w:t>Myeisha L. Cheek</w:t>
      </w:r>
    </w:p>
    <w:p>
      <w:pPr>
        <w:spacing w:before="0" w:after="60"/>
        <w:jc w:val="left"/>
      </w:pPr>
      <w:r>
        <w:rPr>
          <w:rFonts w:ascii="Times New Roman" w:hAnsi="Times New Roman"/>
          <w:b w:val="0"/>
          <w:color w:val="000000"/>
          <w:sz w:val="24"/>
        </w:rPr>
        <w:t>864-398-3096 | myeishacheek05@gmail.com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