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2"/>
        </w:rPr>
        <w:t>MYEISHA L. CHEEK</w:t>
      </w:r>
    </w:p>
    <w:p>
      <w:pPr>
        <w:spacing w:before="0" w:after="60"/>
        <w:jc w:val="left"/>
      </w:pPr>
      <w:r>
        <w:rPr>
          <w:rFonts w:ascii="Times New Roman" w:hAnsi="Times New Roman"/>
          <w:b w:val="0"/>
          <w:color w:val="000000"/>
          <w:sz w:val="24"/>
        </w:rPr>
        <w:t>Charlotte, NC 28273 | 864-398-3096 | myeishacheek05@gmail.com | linkedin.com/in/myeisha-cheek-</w:t>
      </w:r>
    </w:p>
    <w:p>
      <w:pPr>
        <w:spacing w:before="40" w:after="40"/>
        <w:pBdr>
          <w:bottom w:val="single" w:sz="6" w:space="1" w:color="000000"/>
        </w:pBdr>
      </w:pPr>
    </w:p>
    <w:p>
      <w:pPr>
        <w:spacing w:before="0" w:after="60"/>
        <w:jc w:val="left"/>
      </w:pPr>
      <w:r>
        <w:rPr>
          <w:rFonts w:ascii="Times New Roman" w:hAnsi="Times New Roman"/>
          <w:b w:val="0"/>
          <w:color w:val="000000"/>
          <w:sz w:val="24"/>
        </w:rPr>
        <w:t>June 30, 2026</w:t>
      </w:r>
    </w:p>
    <w:p>
      <w:pPr>
        <w:spacing w:before="0" w:after="60"/>
        <w:jc w:val="left"/>
      </w:pPr>
      <w:r>
        <w:rPr>
          <w:rFonts w:ascii="Times New Roman" w:hAnsi="Times New Roman"/>
          <w:b w:val="0"/>
          <w:color w:val="000000"/>
          <w:sz w:val="24"/>
        </w:rPr>
        <w:t>Hiring Manager</w:t>
      </w:r>
    </w:p>
    <w:p>
      <w:pPr>
        <w:spacing w:before="0" w:after="60"/>
        <w:jc w:val="left"/>
      </w:pPr>
      <w:r>
        <w:rPr>
          <w:rFonts w:ascii="Times New Roman" w:hAnsi="Times New Roman"/>
          <w:b w:val="0"/>
          <w:color w:val="000000"/>
          <w:sz w:val="24"/>
        </w:rPr>
        <w:t>Rosensteel Fleishman, PLLC</w:t>
      </w:r>
    </w:p>
    <w:p>
      <w:pPr>
        <w:spacing w:before="0" w:after="60"/>
        <w:jc w:val="left"/>
      </w:pPr>
      <w:r>
        <w:rPr>
          <w:rFonts w:ascii="Times New Roman" w:hAnsi="Times New Roman"/>
          <w:b w:val="0"/>
          <w:color w:val="000000"/>
          <w:sz w:val="24"/>
        </w:rPr>
        <w:t>Charlotte, NC 28204</w:t>
      </w:r>
    </w:p>
    <w:p>
      <w:pPr>
        <w:spacing w:before="0" w:after="60"/>
        <w:jc w:val="left"/>
      </w:pPr>
      <w:r>
        <w:rPr>
          <w:rFonts w:ascii="Times New Roman" w:hAnsi="Times New Roman"/>
          <w:b w:val="0"/>
          <w:color w:val="000000"/>
          <w:sz w:val="24"/>
        </w:rPr>
        <w:t>Dear Hiring Manager,</w:t>
      </w:r>
    </w:p>
    <w:p>
      <w:pPr>
        <w:spacing w:before="0" w:after="60"/>
        <w:jc w:val="left"/>
      </w:pPr>
      <w:r>
        <w:rPr>
          <w:rFonts w:ascii="Times New Roman" w:hAnsi="Times New Roman"/>
          <w:b w:val="0"/>
          <w:color w:val="000000"/>
          <w:sz w:val="24"/>
        </w:rPr>
        <w:t>I am writing to apply for the Plaintiff's Litigation Personal Injury Paralegal position at Rosensteel Fleishman, PLLC. Personal injury is where my paralegal career began, and it is work I am deeply familiar with — not just in terms of the tasks involved, but in terms of what it means to truly support a client who has been harmed and is depending on their legal team to fight for them. That purpose is something I carry into everything I do.</w:t>
      </w:r>
    </w:p>
    <w:p>
      <w:pPr>
        <w:spacing w:before="0" w:after="60"/>
        <w:jc w:val="left"/>
      </w:pPr>
      <w:r>
        <w:rPr>
          <w:rFonts w:ascii="Times New Roman" w:hAnsi="Times New Roman"/>
          <w:b w:val="0"/>
          <w:color w:val="000000"/>
          <w:sz w:val="24"/>
        </w:rPr>
        <w:t>At The Wilson Law Firm in Columbia, SC, I managed personal injury cases from intake through settlement. In practice, that meant I was the person keeping each case on track throughout the entire lifecycle. I drafted settlement documents, demand letters, and legal correspondence. I requested and tracked medical records and billing documentation from providers, reviewed and summarized those records to help attorneys assess case value and damages, and verified account balances to ensure accurate representation of client costs. I maintained organized case files and tracked deadlines across multiple active matters simultaneously. That experience gave me a working knowledge of how personal injury cases are built — what documentation matters, what timeline pressures arise, and what it takes to put a client's case in the strongest possible position.</w:t>
      </w:r>
    </w:p>
    <w:p>
      <w:pPr>
        <w:spacing w:before="0" w:after="60"/>
        <w:jc w:val="left"/>
      </w:pPr>
      <w:r>
        <w:rPr>
          <w:rFonts w:ascii="Times New Roman" w:hAnsi="Times New Roman"/>
          <w:b w:val="0"/>
          <w:color w:val="000000"/>
          <w:sz w:val="24"/>
        </w:rPr>
        <w:t>After The Wilson Law Firm, I deepened my litigation paralegal skills at the Department of Social Services, where I supported attorneys on complex active litigation by drafting pleadings, motions, discovery requests and responses, and court orders, preparing case files for hearings and depositions, managing court calendars, and coordinating with opposing counsel and court personnel. That experience made me a stronger, faster, and more versatile litigation paralegal — one who understands not just the individual tasks but how they connect to the overall strategy of a case.</w:t>
      </w:r>
    </w:p>
    <w:p>
      <w:pPr>
        <w:spacing w:before="0" w:after="60"/>
        <w:jc w:val="left"/>
      </w:pPr>
      <w:r>
        <w:rPr>
          <w:rFonts w:ascii="Times New Roman" w:hAnsi="Times New Roman"/>
          <w:b w:val="0"/>
          <w:color w:val="000000"/>
          <w:sz w:val="24"/>
        </w:rPr>
        <w:t>As a Juvenile Drug Court Program Coordinator at the Fifth Judicial Circuit Solicitor's Office, I further developed my ability to communicate with clients navigating difficult and often overwhelming legal situations. I learned how to be the steady, clear point of contact that clients need when their case involves something deeply personal — a skill that is just as important in personal injury work as in any other practice area.</w:t>
      </w:r>
    </w:p>
    <w:p>
      <w:pPr>
        <w:spacing w:before="0" w:after="60"/>
        <w:jc w:val="left"/>
      </w:pPr>
      <w:r>
        <w:rPr>
          <w:rFonts w:ascii="Times New Roman" w:hAnsi="Times New Roman"/>
          <w:b w:val="0"/>
          <w:color w:val="000000"/>
          <w:sz w:val="24"/>
        </w:rPr>
        <w:t>Currently I work as a Client Intake Coordinator at Cattie and Gonzalez, PLLC, a Medicare Secondary Payer law firm in Charlotte, where I manage intake workflows, prepare legal documents, and coordinate client and attorney communications across multiple active matters. I am also completing a Master of Legal Studies at Wake Forest University School of Law. In personal injury litigation, the MLS has been particularly valuable because it has deepened my understanding of tort law, civil procedure, and damages analysis — the same legal concepts that underpin every case your firm handles for plaintiffs. That foundation means I can read a case file and understand not just what documentation is needed, but why it matters to the outcome. Each of these roles has added something to who I am as a legal professional, and I believe the combination makes me genuinely well-suited for what your firm needs.</w:t>
      </w:r>
    </w:p>
    <w:p>
      <w:pPr>
        <w:spacing w:before="0" w:after="60"/>
        <w:jc w:val="left"/>
      </w:pPr>
      <w:r>
        <w:rPr>
          <w:rFonts w:ascii="Times New Roman" w:hAnsi="Times New Roman"/>
          <w:b w:val="0"/>
          <w:color w:val="000000"/>
          <w:sz w:val="24"/>
        </w:rPr>
        <w:t>I would be proud to support the work Rosensteel Fleishman does for its clients. Thank you for your time and consideration. I look forward to the opportunity to speak with you.</w:t>
      </w:r>
    </w:p>
    <w:p>
      <w:pPr>
        <w:spacing w:before="0" w:after="60"/>
        <w:jc w:val="left"/>
      </w:pPr>
      <w:r>
        <w:rPr>
          <w:rFonts w:ascii="Times New Roman" w:hAnsi="Times New Roman"/>
          <w:b w:val="0"/>
          <w:color w:val="000000"/>
          <w:sz w:val="24"/>
        </w:rPr>
        <w:t>Sincerely,</w:t>
      </w:r>
    </w:p>
    <w:p>
      <w:pPr>
        <w:spacing w:before="0" w:after="60"/>
        <w:jc w:val="left"/>
      </w:pPr>
      <w:r>
        <w:rPr>
          <w:rFonts w:ascii="Times New Roman" w:hAnsi="Times New Roman"/>
          <w:b w:val="0"/>
          <w:color w:val="000000"/>
          <w:sz w:val="24"/>
        </w:rPr>
        <w:t>Myeisha L. Cheek</w:t>
      </w:r>
    </w:p>
    <w:p>
      <w:pPr>
        <w:spacing w:before="0" w:after="60"/>
        <w:jc w:val="left"/>
      </w:pPr>
      <w:r>
        <w:rPr>
          <w:rFonts w:ascii="Times New Roman" w:hAnsi="Times New Roman"/>
          <w:b w:val="0"/>
          <w:color w:val="000000"/>
          <w:sz w:val="24"/>
        </w:rPr>
        <w:t>864-398-3096 | myeishacheek05@gmail.com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