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Gardner Skelton PLLC</w:t>
      </w:r>
    </w:p>
    <w:p>
      <w:pPr>
        <w:spacing w:before="0" w:after="60"/>
        <w:jc w:val="left"/>
      </w:pPr>
      <w:r>
        <w:rPr>
          <w:rFonts w:ascii="Times New Roman" w:hAnsi="Times New Roman"/>
          <w:b w:val="0"/>
          <w:color w:val="000000"/>
          <w:sz w:val="24"/>
        </w:rPr>
        <w:t>Charlotte, NC — NoDa</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Paralegal position at Gardner Skelton. I was drawn to your firm's reputation for combining strong legal work with a genuinely collaborative, people-focused culture, and I believe my background as a paralegal positions me to contribute meaningfully to your team.</w:t>
      </w:r>
    </w:p>
    <w:p>
      <w:pPr>
        <w:spacing w:before="0" w:after="60"/>
        <w:jc w:val="left"/>
      </w:pPr>
      <w:r>
        <w:rPr>
          <w:rFonts w:ascii="Times New Roman" w:hAnsi="Times New Roman"/>
          <w:b w:val="0"/>
          <w:color w:val="000000"/>
          <w:sz w:val="24"/>
        </w:rPr>
        <w:t>Over the past five years, I have supported attorneys across litigation and case management, including drafting pleadings, motions, complaints, and legal correspondence, conducting legal research, and managing discovery. At the Department of Social Services, I worked independently to keep active litigation matters organized and moving forward — gathering and verifying case facts, preparing documentation for hearings and depositions, and maintaining strict confidentiality. I am comfortable taking ownership of my caseload and identifying what needs to happen next without constant direction. My work has required strong organizational skills, clear communication, and the ability to manage multiple active matters simultaneously.</w:t>
      </w:r>
    </w:p>
    <w:p>
      <w:pPr>
        <w:spacing w:before="0" w:after="60"/>
        <w:jc w:val="left"/>
      </w:pPr>
      <w:r>
        <w:rPr>
          <w:rFonts w:ascii="Times New Roman" w:hAnsi="Times New Roman"/>
          <w:b w:val="0"/>
          <w:color w:val="000000"/>
          <w:sz w:val="24"/>
        </w:rPr>
        <w:t>As a Juvenile Drug Court Program Coordinator, I coordinated across attorneys, judges, treatment providers, and families, often serving as the central point of contact who kept all parties aligned and informed. That role demanded the same initiative, organization, and problem-solving skills your firm is looking for.</w:t>
      </w:r>
    </w:p>
    <w:p>
      <w:pPr>
        <w:spacing w:before="0" w:after="60"/>
        <w:jc w:val="left"/>
      </w:pPr>
      <w:r>
        <w:rPr>
          <w:rFonts w:ascii="Times New Roman" w:hAnsi="Times New Roman"/>
          <w:b w:val="0"/>
          <w:color w:val="000000"/>
          <w:sz w:val="24"/>
        </w:rPr>
        <w:t>While my background centers on family law and litigation support, I am confident in my ability to apply my research, drafting, and case management skills to new practice areas including employment law, business litigation, and corporate matters. I am a fast learner and eager to grow alongside your team. I also currently work as a Client Intake Coordinator at Cattie and Gonzalez, PLLC, a Medicare Secondary Payer law firm in Charlotte, where I manage client communications, case documentation, and records across multiple active matters in Litify. I am also completing a Master of Legal Studies at Wake Forest University School of Law.</w:t>
      </w:r>
    </w:p>
    <w:p>
      <w:pPr>
        <w:spacing w:before="0" w:after="60"/>
        <w:jc w:val="left"/>
      </w:pPr>
      <w:r>
        <w:rPr>
          <w:rFonts w:ascii="Times New Roman" w:hAnsi="Times New Roman"/>
          <w:b w:val="0"/>
          <w:color w:val="000000"/>
          <w:sz w:val="24"/>
        </w:rPr>
        <w:t>I would welcome the opportunity to bring my experience and work ethic to Gardner Skelton. Thank you for your time and consideration.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