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00000"/>
          <w:sz w:val="32"/>
        </w:rPr>
        <w:t>MYEISHA L.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 28273 | 864-398-3096 | myeishacheek05@gmail.com | linkedin.com/in/myeisha-cheek-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Dear Hiring Manager,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am writing to express my interest in the Plaintiff's Litigation Personal Injury Paralegal position at Rosensteel Fleishman, PLLC. With over five years of paralegal experience, including direct personal injury case management, I am confident in my ability to contribute to your team and support your attorneys in delivering excellent results for your clients.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began my paralegal career at The Wilson Law Firm in Columbia, SC, where I supported attorneys on personal injury matters from intake through settlement. In that role, I drafted settlement documents and legal correspondence, requested and tracked medical records and billing documentation, reviewed and summarized medical records to support case valuation, and verified account balances with medical providers. I also maintained organized case files and tracked deadlines across multiple active matters.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Since then, I have continued to develop my skills as a litigation paralegal at the Department of Social Services, where I drafted pleadings, motions, discovery requests and responses, and court orders, and managed case calendars and court deadlines across active litigation. I currently work as a Client Intake Coordinator at a Charlotte law firm, serving as a liaison between clients and attorneys, managing case documentation, and ensuring clients receive timely communication throughout their matters.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am comfortable working independently in a fast-paced environment and take pride in keeping attorneys organized and cases moving forward. I am also currently completing a Master of Legal Studies at Wake Forest University School of Law, which continues to strengthen my legal knowledge and analytical skills.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would welcome the opportunity to bring my personal injury and litigation paralegal experience to your firm. Thank you for your time and consideration.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Sincerely,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Myeisha L. Cheek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