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40" w:after="40"/>
        <w:pBdr>
          <w:bottom w:val="single" w:sz="6" w:space="1" w:color="000000"/>
        </w:pBdr>
      </w:pPr>
    </w:p>
    <w:p>
      <w:pPr>
        <w:spacing w:before="0" w:after="60"/>
        <w:jc w:val="left"/>
      </w:pPr>
      <w:r>
        <w:rPr>
          <w:rFonts w:ascii="Times New Roman" w:hAnsi="Times New Roman"/>
          <w:b w:val="0"/>
          <w:color w:val="000000"/>
          <w:sz w:val="24"/>
        </w:rPr>
        <w:t>June 30, 2026</w:t>
      </w:r>
    </w:p>
    <w:p>
      <w:pPr>
        <w:spacing w:before="0" w:after="60"/>
        <w:jc w:val="left"/>
      </w:pPr>
      <w:r>
        <w:rPr>
          <w:rFonts w:ascii="Times New Roman" w:hAnsi="Times New Roman"/>
          <w:b w:val="0"/>
          <w:color w:val="000000"/>
          <w:sz w:val="24"/>
        </w:rPr>
        <w:t>Hiring Manager</w:t>
      </w:r>
    </w:p>
    <w:p>
      <w:pPr>
        <w:spacing w:before="0" w:after="60"/>
        <w:jc w:val="left"/>
      </w:pPr>
      <w:r>
        <w:rPr>
          <w:rFonts w:ascii="Times New Roman" w:hAnsi="Times New Roman"/>
          <w:b w:val="0"/>
          <w:color w:val="000000"/>
          <w:sz w:val="24"/>
        </w:rPr>
        <w:t>Beacon Hill Legal</w:t>
      </w:r>
    </w:p>
    <w:p>
      <w:pPr>
        <w:spacing w:before="0" w:after="60"/>
        <w:jc w:val="left"/>
      </w:pPr>
      <w:r>
        <w:rPr>
          <w:rFonts w:ascii="Times New Roman" w:hAnsi="Times New Roman"/>
          <w:b w:val="0"/>
          <w:color w:val="000000"/>
          <w:sz w:val="24"/>
        </w:rPr>
        <w:t>Charlotte, NC — South End</w:t>
      </w:r>
    </w:p>
    <w:p>
      <w:pPr>
        <w:spacing w:before="0" w:after="60"/>
        <w:jc w:val="left"/>
      </w:pPr>
      <w:r>
        <w:rPr>
          <w:rFonts w:ascii="Times New Roman" w:hAnsi="Times New Roman"/>
          <w:b w:val="0"/>
          <w:color w:val="000000"/>
          <w:sz w:val="24"/>
        </w:rPr>
        <w:t>Dear Hiring Manager,</w:t>
      </w:r>
    </w:p>
    <w:p>
      <w:pPr>
        <w:spacing w:before="0" w:after="60"/>
        <w:jc w:val="left"/>
      </w:pPr>
      <w:r>
        <w:rPr>
          <w:rFonts w:ascii="Times New Roman" w:hAnsi="Times New Roman"/>
          <w:b w:val="0"/>
          <w:color w:val="000000"/>
          <w:sz w:val="24"/>
        </w:rPr>
        <w:t>I am writing to apply for the Family Law Paralegal position with your Charlotte office. Family law is not a practice area I am trying to enter — it is the area where I have spent the majority of my paralegal career, and it is the work I am most prepared to do well. With over five years of direct family law litigation experience, I am ready to step in and support your three-attorney team from day one, without a long adjustment period.</w:t>
      </w:r>
    </w:p>
    <w:p>
      <w:pPr>
        <w:spacing w:before="0" w:after="60"/>
        <w:jc w:val="left"/>
      </w:pPr>
      <w:r>
        <w:rPr>
          <w:rFonts w:ascii="Times New Roman" w:hAnsi="Times New Roman"/>
          <w:b w:val="0"/>
          <w:color w:val="000000"/>
          <w:sz w:val="24"/>
        </w:rPr>
        <w:t>My most formative experience came as a Litigation Paralegal at the Department of Social Services, where I supported attorneys on complex family court matters every day. I drafted pleadings, motions, discovery requests and responses, court orders, and legal correspondence for court submission. I prepared financial documentation and case summaries for attorney review, organized and maintained complete case files, and ensured every document needed for a hearing or deposition was ready well in advance. I managed court calendars across multiple active matters simultaneously and e-filed in South Carolina state and federal courts. That experience gave me a thorough, working knowledge of family law litigation from the inside — not a textbook understanding, but the kind that comes from doing the work under real deadlines with real consequences.</w:t>
      </w:r>
    </w:p>
    <w:p>
      <w:pPr>
        <w:spacing w:before="0" w:after="60"/>
        <w:jc w:val="left"/>
      </w:pPr>
      <w:r>
        <w:rPr>
          <w:rFonts w:ascii="Times New Roman" w:hAnsi="Times New Roman"/>
          <w:b w:val="0"/>
          <w:color w:val="000000"/>
          <w:sz w:val="24"/>
        </w:rPr>
        <w:t>What that role also taught me is how to work with clients going through some of the hardest moments of their lives. Family law clients are not just cases — they are people dealing with custody disputes, parental rights, and family separation. I served as a direct point of contact for those clients throughout their proceedings, providing clear communication and consistent follow-up so they always knew where things stood. That kind of client relationship management is something I take seriously, and it is something I believe sets a strong family law paralegal apart from an average one.</w:t>
      </w:r>
    </w:p>
    <w:p>
      <w:pPr>
        <w:spacing w:before="0" w:after="60"/>
        <w:jc w:val="left"/>
      </w:pPr>
      <w:r>
        <w:rPr>
          <w:rFonts w:ascii="Times New Roman" w:hAnsi="Times New Roman"/>
          <w:b w:val="0"/>
          <w:color w:val="000000"/>
          <w:sz w:val="24"/>
        </w:rPr>
        <w:t>As a Juvenile Drug Court Program Coordinator at the Fifth Judicial Circuit Solicitor's Office, I continued working at the intersection of family law and the court system, supporting attorneys in proceedings involving juvenile clients and their families, coordinating with judges, social workers, treatment providers, and families across multiple active matters. That role expanded my ability to manage complex, multi-party legal environments while keeping clients informed and supported.</w:t>
      </w:r>
    </w:p>
    <w:p>
      <w:pPr>
        <w:spacing w:before="0" w:after="60"/>
        <w:jc w:val="left"/>
      </w:pPr>
      <w:r>
        <w:rPr>
          <w:rFonts w:ascii="Times New Roman" w:hAnsi="Times New Roman"/>
          <w:b w:val="0"/>
          <w:color w:val="000000"/>
          <w:sz w:val="24"/>
        </w:rPr>
        <w:t>Currently, I work as a Client Intake Coordinator at Cattie and Gonzalez, PLLC, a Medicare Secondary Payer law firm in Charlotte, managing client communications, drafting legal documents, and maintaining case records in Litify. I can adapt quickly to MyCase, and I am available to start immediately. I am also completing a Master of Legal Studies at Wake Forest University School of Law.</w:t>
      </w:r>
    </w:p>
    <w:p>
      <w:pPr>
        <w:spacing w:before="0" w:after="60"/>
        <w:jc w:val="left"/>
      </w:pPr>
      <w:r>
        <w:rPr>
          <w:rFonts w:ascii="Times New Roman" w:hAnsi="Times New Roman"/>
          <w:b w:val="0"/>
          <w:color w:val="000000"/>
          <w:sz w:val="24"/>
        </w:rPr>
        <w:t>I would bring deep family law experience, a client-first mindset, and the ability to work independently within a collaborative team. I look forward to the opportunity to discuss how I can contribute.</w:t>
      </w:r>
    </w:p>
    <w:p>
      <w:pPr>
        <w:spacing w:before="0" w:after="60"/>
        <w:jc w:val="left"/>
      </w:pPr>
      <w:r>
        <w:rPr>
          <w:rFonts w:ascii="Times New Roman" w:hAnsi="Times New Roman"/>
          <w:b w:val="0"/>
          <w:color w:val="000000"/>
          <w:sz w:val="24"/>
        </w:rPr>
        <w:t>Thank you for your time and consideration.</w:t>
      </w:r>
    </w:p>
    <w:p>
      <w:pPr>
        <w:spacing w:before="0" w:after="60"/>
        <w:jc w:val="left"/>
      </w:pPr>
      <w:r>
        <w:rPr>
          <w:rFonts w:ascii="Times New Roman" w:hAnsi="Times New Roman"/>
          <w:b w:val="0"/>
          <w:color w:val="000000"/>
          <w:sz w:val="24"/>
        </w:rPr>
        <w:t>Sincerely,</w:t>
      </w:r>
    </w:p>
    <w:p>
      <w:pPr>
        <w:spacing w:before="0" w:after="60"/>
        <w:jc w:val="left"/>
      </w:pPr>
      <w:r>
        <w:rPr>
          <w:rFonts w:ascii="Times New Roman" w:hAnsi="Times New Roman"/>
          <w:b w:val="0"/>
          <w:color w:val="000000"/>
          <w:sz w:val="24"/>
        </w:rPr>
        <w:t>Myeisha L. Cheek</w:t>
      </w:r>
    </w:p>
    <w:p>
      <w:pPr>
        <w:spacing w:before="0" w:after="60"/>
        <w:jc w:val="left"/>
      </w:pPr>
      <w:r>
        <w:rPr>
          <w:rFonts w:ascii="Times New Roman" w:hAnsi="Times New Roman"/>
          <w:b w:val="0"/>
          <w:color w:val="000000"/>
          <w:sz w:val="24"/>
        </w:rPr>
        <w:t>864-398-3096 | myeishacheek05@gmail.com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