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Beacon Hill Legal</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Legal Assistant position supporting your civil litigation team. Litigation support is the core of my legal career, and over the past five years I have built the kind of practical, hands-on experience that allows me to walk into a busy litigation practice and contribute without a long ramp-up period. What I bring is not just familiarity with litigation tasks — it is the ability to anticipate what attorneys need, manage the details independently, and keep cases organized and moving forward at the pace a demanding practice requires.</w:t>
      </w:r>
    </w:p>
    <w:p>
      <w:pPr>
        <w:spacing w:before="0" w:after="60"/>
        <w:jc w:val="left"/>
      </w:pPr>
      <w:r>
        <w:rPr>
          <w:rFonts w:ascii="Times New Roman" w:hAnsi="Times New Roman"/>
          <w:b w:val="0"/>
          <w:color w:val="000000"/>
          <w:sz w:val="24"/>
        </w:rPr>
        <w:t>My time as a Litigation Paralegal at the Department of Social Services is where I developed the foundation of those skills. I supported attorneys on active, complex cases by drafting pleadings, motions, complaints, and court orders for court submission. I managed discovery from start to finish — preparing requests, coordinating responses, organizing case materials, and ensuring everything was ready for attorney review. I prepared complete case files for depositions, hearings, and court appearances, which meant attorneys never walked in unprepared. I also e-filed documents in South Carolina state and federal courts, communicated directly with court personnel on scheduling and procedural matters, and maintained case calendars that tracked every deadline across multiple simultaneous matters. That experience gave me a thorough understanding of what it takes to keep litigation moving, and I carried it with me into every role since.</w:t>
      </w:r>
    </w:p>
    <w:p>
      <w:pPr>
        <w:spacing w:before="0" w:after="60"/>
        <w:jc w:val="left"/>
      </w:pPr>
      <w:r>
        <w:rPr>
          <w:rFonts w:ascii="Times New Roman" w:hAnsi="Times New Roman"/>
          <w:b w:val="0"/>
          <w:color w:val="000000"/>
          <w:sz w:val="24"/>
        </w:rPr>
        <w:t>As a Juvenile Drug Court Program Coordinator at the Fifth Judicial Circuit Solicitor's Office, I continued to develop my ability to coordinate across multiple parties in a legal setting — scheduling court appearances, managing case documentation, and serving as the communication link between attorneys, courts, and outside agencies. That role reinforced something I already knew: that a strong legal support professional is not just organized — they are the reason everything stays organized when a case gets complicated.</w:t>
      </w:r>
    </w:p>
    <w:p>
      <w:pPr>
        <w:spacing w:before="0" w:after="60"/>
        <w:jc w:val="left"/>
      </w:pPr>
      <w:r>
        <w:rPr>
          <w:rFonts w:ascii="Times New Roman" w:hAnsi="Times New Roman"/>
          <w:b w:val="0"/>
          <w:color w:val="000000"/>
          <w:sz w:val="24"/>
        </w:rPr>
        <w:t>In my current role at Cattie and Gonzalez, PLLC, a Medicare Secondary Payer law firm in Charlotte, I support attorneys across multiple active matters simultaneously. I prepare and proofread legal documents and correspondence, manage incoming client communications, and maintain accurate case records and deadlines in Litify. Working in a law firm environment in Charlotte has sharpened my ability to manage competing priorities professionally and made me even more effective at keeping attorneys supported without requiring constant direction.</w:t>
      </w:r>
    </w:p>
    <w:p>
      <w:pPr>
        <w:spacing w:before="0" w:after="60"/>
        <w:jc w:val="left"/>
      </w:pPr>
      <w:r>
        <w:rPr>
          <w:rFonts w:ascii="Times New Roman" w:hAnsi="Times New Roman"/>
          <w:b w:val="0"/>
          <w:color w:val="000000"/>
          <w:sz w:val="24"/>
        </w:rPr>
        <w:t>I am also completing a Master of Legal Studies at Wake Forest University School of Law. That continued education, combined with my hands-on litigation background, makes me a legal assistant who understands not just the tasks, but the substance behind them. I would welcome the opportunity to bring that to your team.</w:t>
      </w:r>
    </w:p>
    <w:p>
      <w:pPr>
        <w:spacing w:before="0" w:after="60"/>
        <w:jc w:val="left"/>
      </w:pPr>
      <w:r>
        <w:rPr>
          <w:rFonts w:ascii="Times New Roman" w:hAnsi="Times New Roman"/>
          <w:b w:val="0"/>
          <w:color w:val="000000"/>
          <w:sz w:val="24"/>
        </w:rPr>
        <w:t>Thank you for your consideration. I look forward to hearing from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