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iflow-documentation"/>
    <w:p>
      <w:pPr>
        <w:pStyle w:val="Heading1"/>
      </w:pPr>
      <w:r>
        <w:t xml:space="preserve">iFlow Documentation</w:t>
      </w:r>
    </w:p>
    <w:bookmarkStart w:id="20" w:name="high-level-architecture"/>
    <w:p>
      <w:pPr>
        <w:pStyle w:val="Heading3"/>
      </w:pPr>
      <w:r>
        <w:t xml:space="preserve">1. High-level architecture</w:t>
      </w:r>
    </w:p>
    <w:p>
      <w:pPr>
        <w:pStyle w:val="FirstParagraph"/>
      </w:pPr>
      <w:r>
        <w:t xml:space="preserve">The iFlow</w:t>
      </w:r>
      <w:r>
        <w:t xml:space="preserve"> </w:t>
      </w:r>
      <w:r>
        <w:t xml:space="preserve">‘</w:t>
      </w:r>
      <w:r>
        <w:t xml:space="preserve">iflow1</w:t>
      </w:r>
      <w:r>
        <w:t xml:space="preserve">’</w:t>
      </w:r>
      <w:r>
        <w:t xml:space="preserve"> </w:t>
      </w:r>
      <w:r>
        <w:t xml:space="preserve">is designed as a simple integration flow with a sender, a receiver, and an integration process. The sender initiates the flow, which then proceeds to the integration process, and finally ends at the receiver.</w:t>
      </w:r>
    </w:p>
    <w:bookmarkEnd w:id="20"/>
    <w:bookmarkStart w:id="21" w:name="purpose"/>
    <w:p>
      <w:pPr>
        <w:pStyle w:val="Heading3"/>
      </w:pPr>
      <w:r>
        <w:t xml:space="preserve">2. Purpose</w:t>
      </w:r>
    </w:p>
    <w:p>
      <w:pPr>
        <w:pStyle w:val="FirstParagraph"/>
      </w:pPr>
      <w:r>
        <w:t xml:space="preserve">The purpose of this iFlow is to demonstrate a basic integration scenario where a message is sent from a sender to a receiver through an integration process.</w:t>
      </w:r>
    </w:p>
    <w:bookmarkEnd w:id="21"/>
    <w:bookmarkStart w:id="22" w:name="senderreceiver-systems"/>
    <w:p>
      <w:pPr>
        <w:pStyle w:val="Heading3"/>
      </w:pPr>
      <w:r>
        <w:t xml:space="preserve">3. Sender/Receiver systems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Sender:</w:t>
      </w:r>
      <w:r>
        <w:t xml:space="preserve"> </w:t>
      </w:r>
      <w:r>
        <w:t xml:space="preserve">The sender is an endpoint that initiates the integration flow. It is configured as an</w:t>
      </w:r>
      <w:r>
        <w:t xml:space="preserve"> </w:t>
      </w:r>
      <w:r>
        <w:t xml:space="preserve">‘</w:t>
      </w:r>
      <w:r>
        <w:t xml:space="preserve">EndpointSender</w:t>
      </w:r>
      <w:r>
        <w:t xml:space="preserve">’</w:t>
      </w:r>
      <w:r>
        <w:t xml:space="preserve"> </w:t>
      </w:r>
      <w:r>
        <w:t xml:space="preserve">with basic authentication disabled.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Receiver:</w:t>
      </w:r>
      <w:r>
        <w:t xml:space="preserve"> </w:t>
      </w:r>
      <w:r>
        <w:t xml:space="preserve">The receiver is an endpoint that receives the message after it has been processed by the integration process. It is configured as an</w:t>
      </w:r>
      <w:r>
        <w:t xml:space="preserve"> </w:t>
      </w:r>
      <w:r>
        <w:t xml:space="preserve">‘</w:t>
      </w:r>
      <w:r>
        <w:t xml:space="preserve">EndpointRecevier</w:t>
      </w:r>
      <w:r>
        <w:t xml:space="preserve">’</w:t>
      </w:r>
      <w:r>
        <w:t xml:space="preserve">.</w:t>
      </w:r>
    </w:p>
    <w:bookmarkEnd w:id="22"/>
    <w:bookmarkStart w:id="23" w:name="adapter-types-used"/>
    <w:p>
      <w:pPr>
        <w:pStyle w:val="Heading3"/>
      </w:pPr>
      <w:r>
        <w:t xml:space="preserve">4. Adapter types used</w:t>
      </w:r>
    </w:p>
    <w:p>
      <w:pPr>
        <w:pStyle w:val="FirstParagraph"/>
      </w:pPr>
      <w:r>
        <w:t xml:space="preserve">The adapter types used in this iFlow are not explicitly specified in the provided XML configuration. However, based on the participant types (</w:t>
      </w:r>
      <w:r>
        <w:t xml:space="preserve">‘</w:t>
      </w:r>
      <w:r>
        <w:t xml:space="preserve">EndpointSender</w:t>
      </w:r>
      <w:r>
        <w:t xml:space="preserve">’</w:t>
      </w:r>
      <w:r>
        <w:t xml:space="preserve"> </w:t>
      </w:r>
      <w:r>
        <w:t xml:space="preserve">and</w:t>
      </w:r>
      <w:r>
        <w:t xml:space="preserve"> </w:t>
      </w:r>
      <w:r>
        <w:t xml:space="preserve">‘</w:t>
      </w:r>
      <w:r>
        <w:t xml:space="preserve">EndpointRecevier</w:t>
      </w:r>
      <w:r>
        <w:t xml:space="preserve">’</w:t>
      </w:r>
      <w:r>
        <w:t xml:space="preserve">), it can be inferred that HTTP or similar adapters might be used for sending and receiving messages.</w:t>
      </w:r>
    </w:p>
    <w:bookmarkEnd w:id="23"/>
    <w:bookmarkStart w:id="24" w:name="step-by-step-flow-explanation"/>
    <w:p>
      <w:pPr>
        <w:pStyle w:val="Heading3"/>
      </w:pPr>
      <w:r>
        <w:t xml:space="preserve">5. Step-by-step flow explanation</w:t>
      </w:r>
    </w:p>
    <w:p>
      <w:pPr>
        <w:numPr>
          <w:ilvl w:val="0"/>
          <w:numId w:val="1002"/>
        </w:numPr>
        <w:pStyle w:val="Compact"/>
      </w:pPr>
      <w:r>
        <w:t xml:space="preserve">The flow starts with a</w:t>
      </w:r>
      <w:r>
        <w:t xml:space="preserve"> </w:t>
      </w:r>
      <w:r>
        <w:t xml:space="preserve">‘</w:t>
      </w:r>
      <w:r>
        <w:t xml:space="preserve">StartEvent</w:t>
      </w:r>
      <w:r>
        <w:t xml:space="preserve">’</w:t>
      </w:r>
      <w:r>
        <w:t xml:space="preserve"> </w:t>
      </w:r>
      <w:r>
        <w:t xml:space="preserve">named</w:t>
      </w:r>
      <w:r>
        <w:t xml:space="preserve"> </w:t>
      </w:r>
      <w:r>
        <w:t xml:space="preserve">‘</w:t>
      </w:r>
      <w:r>
        <w:t xml:space="preserve">Start</w:t>
      </w:r>
      <w:r>
        <w:t xml:space="preserve">’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</w:t>
      </w:r>
      <w:r>
        <w:t xml:space="preserve"> </w:t>
      </w:r>
      <w:r>
        <w:t xml:space="preserve">‘</w:t>
      </w:r>
      <w:r>
        <w:t xml:space="preserve">StartEvent</w:t>
      </w:r>
      <w:r>
        <w:t xml:space="preserve">’</w:t>
      </w:r>
      <w:r>
        <w:t xml:space="preserve"> </w:t>
      </w:r>
      <w:r>
        <w:t xml:space="preserve">triggers a sequence flow that leads to an</w:t>
      </w:r>
      <w:r>
        <w:t xml:space="preserve"> </w:t>
      </w:r>
      <w:r>
        <w:t xml:space="preserve">‘</w:t>
      </w:r>
      <w:r>
        <w:t xml:space="preserve">EndEvent</w:t>
      </w:r>
      <w:r>
        <w:t xml:space="preserve">’</w:t>
      </w:r>
      <w:r>
        <w:t xml:space="preserve"> </w:t>
      </w:r>
      <w:r>
        <w:t xml:space="preserve">named</w:t>
      </w:r>
      <w:r>
        <w:t xml:space="preserve"> </w:t>
      </w:r>
      <w:r>
        <w:t xml:space="preserve">‘</w:t>
      </w:r>
      <w:r>
        <w:t xml:space="preserve">End</w:t>
      </w:r>
      <w:r>
        <w:t xml:space="preserve">’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</w:t>
      </w:r>
      <w:r>
        <w:t xml:space="preserve"> </w:t>
      </w:r>
      <w:r>
        <w:t xml:space="preserve">‘</w:t>
      </w:r>
      <w:r>
        <w:t xml:space="preserve">EndEvent</w:t>
      </w:r>
      <w:r>
        <w:t xml:space="preserve">’</w:t>
      </w:r>
      <w:r>
        <w:t xml:space="preserve"> </w:t>
      </w:r>
      <w:r>
        <w:t xml:space="preserve">marks the end of the integration flow.</w:t>
      </w:r>
    </w:p>
    <w:bookmarkEnd w:id="24"/>
    <w:bookmarkStart w:id="25" w:name="mapping-logic-summary"/>
    <w:p>
      <w:pPr>
        <w:pStyle w:val="Heading3"/>
      </w:pPr>
      <w:r>
        <w:t xml:space="preserve">6. Mapping logic summary</w:t>
      </w:r>
    </w:p>
    <w:p>
      <w:pPr>
        <w:pStyle w:val="FirstParagraph"/>
      </w:pPr>
      <w:r>
        <w:t xml:space="preserve">There is no explicit mapping logic mentioned in the provided configuration. The integration process seems to be a simple pass-through without any data transformation or mapping.</w:t>
      </w:r>
    </w:p>
    <w:bookmarkEnd w:id="25"/>
    <w:bookmarkStart w:id="26" w:name="groovy-script-explanation"/>
    <w:p>
      <w:pPr>
        <w:pStyle w:val="Heading3"/>
      </w:pPr>
      <w:r>
        <w:t xml:space="preserve">7. Groovy script explanation</w:t>
      </w:r>
    </w:p>
    <w:p>
      <w:pPr>
        <w:pStyle w:val="FirstParagraph"/>
      </w:pPr>
      <w:r>
        <w:t xml:space="preserve">There is no Groovy script mentioned or used in the provided configuration.</w:t>
      </w:r>
    </w:p>
    <w:bookmarkEnd w:id="26"/>
    <w:bookmarkStart w:id="27" w:name="error-handling"/>
    <w:p>
      <w:pPr>
        <w:pStyle w:val="Heading3"/>
      </w:pPr>
      <w:r>
        <w:t xml:space="preserve">8. Error handling</w:t>
      </w:r>
    </w:p>
    <w:p>
      <w:pPr>
        <w:pStyle w:val="FirstParagraph"/>
      </w:pPr>
      <w:r>
        <w:t xml:space="preserve">Error handling is not explicitly configured in the provided XML. However, the</w:t>
      </w:r>
      <w:r>
        <w:t xml:space="preserve"> </w:t>
      </w:r>
      <w:r>
        <w:t xml:space="preserve">‘</w:t>
      </w:r>
      <w:r>
        <w:t xml:space="preserve">returnExceptionToSender</w:t>
      </w:r>
      <w:r>
        <w:t xml:space="preserve">’</w:t>
      </w:r>
      <w:r>
        <w:t xml:space="preserve"> </w:t>
      </w:r>
      <w:r>
        <w:t xml:space="preserve">property is set to</w:t>
      </w:r>
      <w:r>
        <w:t xml:space="preserve"> </w:t>
      </w:r>
      <w:r>
        <w:t xml:space="preserve">‘</w:t>
      </w:r>
      <w:r>
        <w:t xml:space="preserve">false</w:t>
      </w:r>
      <w:r>
        <w:t xml:space="preserve">’</w:t>
      </w:r>
      <w:r>
        <w:t xml:space="preserve">, indicating that exceptions will not be returned to the sender.</w:t>
      </w:r>
    </w:p>
    <w:bookmarkEnd w:id="27"/>
    <w:bookmarkStart w:id="28" w:name="securityauthentication"/>
    <w:p>
      <w:pPr>
        <w:pStyle w:val="Heading3"/>
      </w:pPr>
      <w:r>
        <w:t xml:space="preserve">9. Security/authentication</w:t>
      </w:r>
    </w:p>
    <w:p>
      <w:pPr>
        <w:pStyle w:val="FirstParagraph"/>
      </w:pPr>
      <w:r>
        <w:t xml:space="preserve">Basic authentication is disabled for the sender. Other security configurations, such as CORS or access control, are either disabled or not specified.</w:t>
      </w:r>
    </w:p>
    <w:bookmarkEnd w:id="28"/>
    <w:bookmarkStart w:id="29" w:name="high-level-mermaid-diagram"/>
    <w:p>
      <w:pPr>
        <w:pStyle w:val="Heading3"/>
      </w:pPr>
      <w:r>
        <w:t xml:space="preserve">10. High-Level Mermaid Diagram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A[Sender] --&gt;|Message|&gt; B[Integration Process]</w:t>
      </w:r>
      <w:r>
        <w:br/>
      </w:r>
      <w:r>
        <w:rPr>
          <w:rStyle w:val="VerbatimChar"/>
        </w:rPr>
        <w:t xml:space="preserve">    B --&gt;|Processed Message|&gt; C[Receiver]</w:t>
      </w:r>
    </w:p>
    <w:p>
      <w:pPr>
        <w:pStyle w:val="FirstParagraph"/>
      </w:pPr>
      <w:r>
        <w:t xml:space="preserve">This diagram illustrates the high-level flow of the iFlow, from the sender to the integration process and finally to the receiver.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2025-12-11T12:36:04Z</dcterms:created>
  <dcterms:modified xsi:type="dcterms:W3CDTF">2025-12-11T12:36:04Z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