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media/image3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jc w:val="center"/>
      </w:pPr>
      <w:r>
        <w:rPr>
          <w:b/>
          <w:color w:val="1F3864"/>
          <w:sz w:val="56"/>
        </w:rPr>
        <w:t>iflow1</w:t>
      </w:r>
    </w:p>
    <w:p>
      <w:pPr>
        <w:jc w:val="center"/>
      </w:pPr>
      <w:r>
        <w:t>Technical Specification Document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Author:</w:t>
            </w:r>
          </w:p>
        </w:tc>
        <w:tc>
          <w:tcPr>
            <w:tcW w:type="dxa" w:w="4320"/>
          </w:tcPr>
          <w:p>
            <w:r>
              <w:t>Akila710</w:t>
            </w:r>
          </w:p>
        </w:tc>
      </w:tr>
      <w:tr>
        <w:tc>
          <w:tcPr>
            <w:tcW w:type="dxa" w:w="4320"/>
          </w:tcPr>
          <w:p>
            <w:r>
              <w:t>Date:</w:t>
            </w:r>
          </w:p>
        </w:tc>
        <w:tc>
          <w:tcPr>
            <w:tcW w:type="dxa" w:w="4320"/>
          </w:tcPr>
          <w:p>
            <w:r>
              <w:t>2026-01-07</w:t>
            </w:r>
          </w:p>
        </w:tc>
      </w:tr>
      <w:tr>
        <w:tc>
          <w:tcPr>
            <w:tcW w:type="dxa" w:w="4320"/>
          </w:tcPr>
          <w:p>
            <w:r>
              <w:t>Version:</w:t>
            </w:r>
          </w:p>
        </w:tc>
        <w:tc>
          <w:tcPr>
            <w:tcW w:type="dxa" w:w="4320"/>
          </w:tcPr>
          <w:p>
            <w:r>
              <w:t>1.0</w:t>
            </w:r>
          </w:p>
        </w:tc>
      </w:tr>
    </w:tbl>
    <w:p>
      <w:r>
        <w:br w:type="page"/>
      </w:r>
    </w:p>
    <w:p>
      <w:pPr>
        <w:pStyle w:val="Heading1"/>
      </w:pPr>
      <w:r>
        <w:t>Table of Contents</w:t>
      </w:r>
    </w:p>
    <w:p>
      <w:r>
        <w:t>1. Introduction</w:t>
      </w:r>
    </w:p>
    <w:p>
      <w:pPr>
        <w:ind w:left="432"/>
      </w:pPr>
      <w:r>
        <w:t xml:space="preserve">  1.1 Purpose</w:t>
      </w:r>
    </w:p>
    <w:p>
      <w:pPr>
        <w:ind w:left="432"/>
      </w:pPr>
      <w:r>
        <w:t xml:space="preserve">  1.2 Scope</w:t>
      </w:r>
    </w:p>
    <w:p>
      <w:r>
        <w:t>2. Integration Overview</w:t>
      </w:r>
    </w:p>
    <w:p>
      <w:pPr>
        <w:ind w:left="432"/>
      </w:pPr>
      <w:r>
        <w:t xml:space="preserve">  2.1 Integration Architecture</w:t>
      </w:r>
    </w:p>
    <w:p>
      <w:pPr>
        <w:ind w:left="432"/>
      </w:pPr>
      <w:r>
        <w:t xml:space="preserve">  2.2 Integration Components</w:t>
      </w:r>
    </w:p>
    <w:p>
      <w:r>
        <w:t>3. Integration Scenarios</w:t>
      </w:r>
    </w:p>
    <w:p>
      <w:pPr>
        <w:ind w:left="432"/>
      </w:pPr>
      <w:r>
        <w:t xml:space="preserve">  3.1 Scenario Description</w:t>
      </w:r>
    </w:p>
    <w:p>
      <w:pPr>
        <w:ind w:left="432"/>
      </w:pPr>
      <w:r>
        <w:t xml:space="preserve">  3.2 Data Flows</w:t>
      </w:r>
    </w:p>
    <w:p>
      <w:pPr>
        <w:ind w:left="432"/>
      </w:pPr>
      <w:r>
        <w:t xml:space="preserve">  3.3 Security Requirements</w:t>
      </w:r>
    </w:p>
    <w:p>
      <w:r>
        <w:t>4. Error Handling</w:t>
      </w:r>
    </w:p>
    <w:p>
      <w:r>
        <w:t>5. Testing Validation</w:t>
      </w:r>
    </w:p>
    <w:p>
      <w:r>
        <w:br w:type="page"/>
      </w:r>
    </w:p>
    <w:p>
      <w:pPr>
        <w:pStyle w:val="Heading1"/>
      </w:pPr>
      <w:r>
        <w:rPr>
          <w:color w:val="1F3864"/>
          <w:sz w:val="32"/>
        </w:rPr>
        <w:t>1. Introduction</w:t>
      </w:r>
    </w:p>
    <w:p>
      <w:pPr>
        <w:pStyle w:val="Heading2"/>
      </w:pPr>
      <w:r>
        <w:rPr>
          <w:color w:val="1F3864"/>
          <w:sz w:val="26"/>
        </w:rPr>
        <w:t>1.1 Purpose</w:t>
      </w:r>
    </w:p>
    <w:p/>
    <w:p>
      <w:pPr>
        <w:pStyle w:val="Heading2"/>
      </w:pPr>
      <w:r>
        <w:rPr>
          <w:color w:val="1F3864"/>
          <w:sz w:val="26"/>
        </w:rPr>
        <w:t>1.2 Scope</w:t>
      </w:r>
    </w:p>
    <w:p/>
    <w:p>
      <w:pPr>
        <w:pStyle w:val="Heading1"/>
      </w:pPr>
      <w:r>
        <w:rPr>
          <w:color w:val="1F3864"/>
          <w:sz w:val="32"/>
        </w:rPr>
        <w:t>2. Integration Overview</w:t>
      </w:r>
    </w:p>
    <w:p>
      <w:pPr>
        <w:pStyle w:val="Heading2"/>
      </w:pPr>
      <w:r>
        <w:rPr>
          <w:color w:val="1F3864"/>
          <w:sz w:val="26"/>
        </w:rPr>
        <w:t>2.1 Integration Architecture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200400" cy="5126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200400" cy="5126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color w:val="1F3864"/>
          <w:sz w:val="26"/>
        </w:rPr>
        <w:t>2.2 Integration Components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Sender</w:t>
            </w:r>
          </w:p>
        </w:tc>
        <w:tc>
          <w:tcPr>
            <w:tcW w:type="dxa" w:w="4320"/>
          </w:tcPr>
          <w:p>
            <w:r>
              <w:t>{'name': 'HTTP Sender', 'description': 'The component responsible for receiving incoming HTTP requests.'}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Sender Adapter</w:t>
            </w:r>
          </w:p>
        </w:tc>
        <w:tc>
          <w:tcPr>
            <w:tcW w:type="dxa" w:w="4320"/>
          </w:tcPr>
          <w:p>
            <w:r>
              <w:t>{'type': 'HTTP Adapter', 'configuration': {'method': 'POST', 'url': '/path/to/endpoint', 'headers': {'Content-Type': 'application/json'}}}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Receiver</w:t>
            </w:r>
          </w:p>
        </w:tc>
        <w:tc>
          <w:tcPr>
            <w:tcW w:type="dxa" w:w="4320"/>
          </w:tcPr>
          <w:p>
            <w:r>
              <w:t>{'name': 'HTTP Receiver', 'description': 'The component responsible for sending processed messages to the target system.'}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Receiver Adapter</w:t>
            </w:r>
          </w:p>
        </w:tc>
        <w:tc>
          <w:tcPr>
            <w:tcW w:type="dxa" w:w="4320"/>
          </w:tcPr>
          <w:p>
            <w:r>
              <w:t>{'type': 'HTTP Adapter', 'configuration': {'method': 'POST', 'url': 'https://target.system.com/api/endpoint', 'headers': {'Content-Type': 'application/json'}}}</w:t>
            </w:r>
          </w:p>
        </w:tc>
      </w:tr>
    </w:tbl>
    <w:p>
      <w:pPr>
        <w:pStyle w:val="Heading1"/>
      </w:pPr>
      <w:r>
        <w:rPr>
          <w:color w:val="1F3864"/>
          <w:sz w:val="32"/>
        </w:rPr>
        <w:t>3. Integration Scenarios</w:t>
      </w:r>
    </w:p>
    <w:p>
      <w:pPr>
        <w:pStyle w:val="Heading2"/>
      </w:pPr>
      <w:r>
        <w:rPr>
          <w:color w:val="1F3864"/>
          <w:sz w:val="26"/>
        </w:rPr>
        <w:t>3.1 Scenario Description</w:t>
      </w:r>
    </w:p>
    <w:p/>
    <w:p>
      <w:pPr>
        <w:pStyle w:val="Heading2"/>
      </w:pPr>
      <w:r>
        <w:rPr>
          <w:color w:val="1F3864"/>
          <w:sz w:val="26"/>
        </w:rPr>
        <w:t>3.2 Data Flows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Source Field</w:t>
            </w:r>
          </w:p>
        </w:tc>
        <w:tc>
          <w:tcPr>
            <w:tcW w:type="dxa" w:w="2880"/>
          </w:tcPr>
          <w:p>
            <w:r>
              <w:t>Target Field</w:t>
            </w:r>
          </w:p>
        </w:tc>
        <w:tc>
          <w:tcPr>
            <w:tcW w:type="dxa" w:w="2880"/>
          </w:tcPr>
          <w:p>
            <w:r>
              <w:t>Logic</w:t>
            </w:r>
          </w:p>
        </w:tc>
      </w:tr>
      <w:tr>
        <w:tc>
          <w:tcPr>
            <w:tcW w:type="dxa" w:w="2880"/>
          </w:tcPr>
          <w:p>
            <w:r>
              <w:t>inputField1</w:t>
            </w:r>
          </w:p>
        </w:tc>
        <w:tc>
          <w:tcPr>
            <w:tcW w:type="dxa" w:w="2880"/>
          </w:tcPr>
          <w:p>
            <w:r>
              <w:t>outputField1</w:t>
            </w:r>
          </w:p>
        </w:tc>
        <w:tc>
          <w:tcPr>
            <w:tcW w:type="dxa" w:w="2880"/>
          </w:tcPr>
          <w:p>
            <w:r>
              <w:t>Direct mapping from inputField1 to outputField1</w:t>
            </w:r>
          </w:p>
        </w:tc>
      </w:tr>
      <w:tr>
        <w:tc>
          <w:tcPr>
            <w:tcW w:type="dxa" w:w="2880"/>
          </w:tcPr>
          <w:p>
            <w:r>
              <w:t>inputField2</w:t>
            </w:r>
          </w:p>
        </w:tc>
        <w:tc>
          <w:tcPr>
            <w:tcW w:type="dxa" w:w="2880"/>
          </w:tcPr>
          <w:p>
            <w:r>
              <w:t>outputField2</w:t>
            </w:r>
          </w:p>
        </w:tc>
        <w:tc>
          <w:tcPr>
            <w:tcW w:type="dxa" w:w="2880"/>
          </w:tcPr>
          <w:p>
            <w:r>
              <w:t>Transformation logic applied to inputField2 to format outputField2</w:t>
            </w:r>
          </w:p>
        </w:tc>
      </w:tr>
      <w:tr>
        <w:tc>
          <w:tcPr>
            <w:tcW w:type="dxa" w:w="2880"/>
          </w:tcPr>
          <w:p>
            <w:r>
              <w:t>inputField3</w:t>
            </w:r>
          </w:p>
        </w:tc>
        <w:tc>
          <w:tcPr>
            <w:tcW w:type="dxa" w:w="2880"/>
          </w:tcPr>
          <w:p>
            <w:r>
              <w:t>outputField3</w:t>
            </w:r>
          </w:p>
        </w:tc>
        <w:tc>
          <w:tcPr>
            <w:tcW w:type="dxa" w:w="2880"/>
          </w:tcPr>
          <w:p>
            <w:r>
              <w:t>Logical condition check, mapping inputField3 to outputField3 based on certain criteria</w:t>
            </w:r>
          </w:p>
        </w:tc>
      </w:tr>
    </w:tbl>
    <w:p>
      <w:pPr>
        <w:pStyle w:val="Heading2"/>
      </w:pPr>
      <w:r>
        <w:rPr>
          <w:color w:val="1F3864"/>
          <w:sz w:val="26"/>
        </w:rPr>
        <w:t>3.3 Security Requirements</w:t>
      </w:r>
    </w:p>
    <w:p/>
    <w:p>
      <w:pPr>
        <w:pStyle w:val="Heading1"/>
      </w:pPr>
      <w:r>
        <w:rPr>
          <w:color w:val="1F3864"/>
          <w:sz w:val="32"/>
        </w:rPr>
        <w:t>4. Error Handling</w:t>
      </w:r>
    </w:p>
    <w:p/>
    <w:p>
      <w:pPr>
        <w:pStyle w:val="Heading1"/>
      </w:pPr>
      <w:r>
        <w:rPr>
          <w:color w:val="1F3864"/>
          <w:sz w:val="32"/>
        </w:rPr>
        <w:t>5. Testing Validation</w:t>
      </w:r>
    </w:p>
    <w:p/>
    <w:sectPr w:rsidR="00FC693F" w:rsidRPr="0006063C" w:rsidSect="00034616">
      <w:head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ook w:firstColumn="1" w:firstRow="1" w:lastColumn="0" w:lastRow="0" w:noHBand="0" w:noVBand="1" w:val="04A0"/>
    </w:tblPr>
    <w:tblGrid>
      <w:gridCol w:w="4680"/>
      <w:gridCol w:w="4680"/>
    </w:tblGrid>
    <w:tr>
      <w:tc>
        <w:tcPr>
          <w:tcW w:type="dxa" w:w="4680"/>
        </w:tcPr>
        <w:p>
          <w:r>
            <w:drawing>
              <wp:inline xmlns:a="http://schemas.openxmlformats.org/drawingml/2006/main" xmlns:pic="http://schemas.openxmlformats.org/drawingml/2006/picture">
                <wp:extent cx="548640" cy="54864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sap.jp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48640" cy="54864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680"/>
        </w:tcPr>
        <w:p>
          <w:pPr>
            <w:jc w:val="right"/>
          </w:pPr>
          <w:r>
            <w:drawing>
              <wp:inline xmlns:a="http://schemas.openxmlformats.org/drawingml/2006/main" xmlns:pic="http://schemas.openxmlformats.org/drawingml/2006/picture">
                <wp:extent cx="548640" cy="548640"/>
                <wp:docPr id="2" name="Picture 2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mm.png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48640" cy="54864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image" Target="media/image3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