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sz w:val="48"/>
        </w:rPr>
        <w:t>iflow1</w:t>
      </w:r>
    </w:p>
    <w:p>
      <w:r>
        <w:br/>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p>
        </w:tc>
      </w:tr>
      <w:tr>
        <w:tc>
          <w:tcPr>
            <w:tcW w:type="dxa" w:w="4320"/>
          </w:tcPr>
          <w:p>
            <w:r>
              <w:t>Date</w:t>
            </w:r>
          </w:p>
        </w:tc>
        <w:tc>
          <w:tcPr>
            <w:tcW w:type="dxa" w:w="4320"/>
          </w:tcPr>
          <w:p>
            <w:r>
              <w:t>2025-12-23</w:t>
            </w:r>
          </w:p>
        </w:tc>
      </w:tr>
      <w:tr>
        <w:tc>
          <w:tcPr>
            <w:tcW w:type="dxa" w:w="4320"/>
          </w:tcPr>
          <w:p>
            <w:r>
              <w:t>Version</w:t>
            </w:r>
          </w:p>
        </w:tc>
        <w:tc>
          <w:tcPr>
            <w:tcW w:type="dxa" w:w="4320"/>
          </w:tcPr>
          <w:p>
            <w:r>
              <w:t>Draft</w:t>
            </w:r>
          </w:p>
        </w:tc>
      </w:tr>
    </w:tbl>
    <w:p>
      <w:r>
        <w:br w:type="page"/>
      </w:r>
    </w:p>
    <w:p>
      <w:pPr>
        <w:pStyle w:val="Heading1"/>
      </w:pPr>
      <w:r>
        <w:t>Table of Contents</w:t>
      </w:r>
    </w:p>
    <w:p>
      <w:r>
        <w:t>1. Introduction</w:t>
      </w:r>
    </w:p>
    <w:p>
      <w:r>
        <w:t xml:space="preserve">   1.1 Purpose</w:t>
      </w:r>
    </w:p>
    <w:p>
      <w:r>
        <w:t xml:space="preserve">   1.2 Scope</w:t>
      </w:r>
    </w:p>
    <w:p>
      <w:r>
        <w:t>2. Integration Overview</w:t>
      </w:r>
    </w:p>
    <w:p>
      <w:r>
        <w:t xml:space="preserve">   2.1 Integration Architecture</w:t>
      </w:r>
    </w:p>
    <w:p>
      <w:r>
        <w:t xml:space="preserve">   2.2 Integration Components</w:t>
      </w:r>
    </w:p>
    <w:p>
      <w:r>
        <w:t>3. Integration Scenarios</w:t>
      </w:r>
    </w:p>
    <w:p>
      <w:r>
        <w:t xml:space="preserve">   3.1 Scenario Description</w:t>
      </w:r>
    </w:p>
    <w:p>
      <w:r>
        <w:t>4. Error Handling and Logging</w:t>
      </w:r>
    </w:p>
    <w:p>
      <w:r>
        <w:t>5. Testing Validation</w:t>
      </w:r>
    </w:p>
    <w:p>
      <w:r>
        <w:t>6. Reference Documents</w:t>
      </w:r>
    </w:p>
    <w:p>
      <w:r>
        <w:br w:type="page"/>
      </w:r>
    </w:p>
    <w:p>
      <w:r>
        <w:t>1. Introduction</w:t>
      </w:r>
    </w:p>
    <w:p>
      <w:r>
        <w:t>1.1 Purpose</w:t>
      </w:r>
    </w:p>
    <w:p>
      <w:r>
        <w:t>The purpose of this documentation is to provide a comprehensive overview of the SAP Cloud Platform Integration (CPI) project, including its architecture, components, and integration scenarios. This document aims to serve as a guide for developers, administrators, and other stakeholders involved in the project.</w:t>
      </w:r>
    </w:p>
    <w:p/>
    <w:p>
      <w:r>
        <w:t>1.2 Scope</w:t>
      </w:r>
    </w:p>
    <w:p>
      <w:r>
        <w:t>The scope of this documentation is limited to the iflow1 integration flow, which is designed to facilitate data exchange between different systems. The documentation covers the integration architecture, components, scenarios, error handling, and testing procedures.</w:t>
      </w:r>
    </w:p>
    <w:p/>
    <w:p>
      <w:r>
        <w:t>2. Integration Overview</w:t>
      </w:r>
    </w:p>
    <w:p>
      <w:r>
        <w:t>2.1 Integration Architecture</w:t>
      </w:r>
    </w:p>
    <w:p>
      <w:r>
        <w:t>The integration architecture consists of a central CPI tenant that connects to various systems using different protocols and adapters. The iflow1 integration flow is designed to receive data from a sender system, process the data, and send it to a receiver system. The architecture is designed to be scalable, secure, and flexible to accommodate changing business requirements.</w:t>
      </w:r>
    </w:p>
    <w:p/>
    <w:p>
      <w:r>
        <w:t>2.2 Integration Components</w:t>
      </w:r>
    </w:p>
    <w:p>
      <w:r>
        <w:t>The iflow1 integration flow consists of the following components:</w:t>
      </w:r>
    </w:p>
    <w:p>
      <w:r>
        <w:t>- Sender: The sender system is an SAP S/4HANA system that sends data to the CPI tenant using the SAP Cloud Connector.</w:t>
      </w:r>
    </w:p>
    <w:p>
      <w:r>
        <w:t>- Receiver: The receiver system is a Salesforce.com application that receives data from the CPI tenant using the HTTP adapter.</w:t>
      </w:r>
    </w:p>
    <w:p>
      <w:r>
        <w:t>- Adapters: The integration flow uses the following adapters:</w:t>
      </w:r>
    </w:p>
    <w:p>
      <w:r>
        <w:t xml:space="preserve">  - SAP Cloud Connector adapter to connect to the SAP S/4HANA system</w:t>
      </w:r>
    </w:p>
    <w:p>
      <w:r>
        <w:t xml:space="preserve">  - HTTP adapter to connect to the Salesforce.com application</w:t>
      </w:r>
    </w:p>
    <w:p>
      <w:r>
        <w:t xml:space="preserve">  - XML adapter to convert data to and from XML format</w:t>
      </w:r>
    </w:p>
    <w:p/>
    <w:p>
      <w:r>
        <w:t>3. Integration Scenarios</w:t>
      </w:r>
    </w:p>
    <w:p>
      <w:r>
        <w:t>3.1 Scenario Description</w:t>
      </w:r>
    </w:p>
    <w:p>
      <w:r>
        <w:t>The iflow1 integration scenario involves the following steps:</w:t>
      </w:r>
    </w:p>
    <w:p>
      <w:r>
        <w:t>- The SAP S/4HANA system sends data to the CPI tenant using the SAP Cloud Connector.</w:t>
      </w:r>
    </w:p>
    <w:p>
      <w:r>
        <w:t>- The CPI tenant receives the data and processes it using a groovy script.</w:t>
      </w:r>
    </w:p>
    <w:p>
      <w:r>
        <w:t>- The processed data is then sent to the Salesforce.com application using the HTTP adapter.</w:t>
      </w:r>
    </w:p>
    <w:p>
      <w:r>
        <w:t>- The Salesforce.com application receives the data and updates its database accordingly.</w:t>
      </w:r>
    </w:p>
    <w:p/>
    <w:p>
      <w:r>
        <w:t>4. Error Handling and Logging</w:t>
      </w:r>
    </w:p>
    <w:p>
      <w:r>
        <w:t>Error handling and logging are crucial components of the iflow1 integration flow. The CPI tenant is configured to log all errors and exceptions that occur during the integration process. The logs are stored in the CPI tenant and can be accessed by administrators for troubleshooting and debugging purposes. In case of errors, the integration flow is designed to send notifications to designated personnel for prompt action.</w:t>
      </w:r>
    </w:p>
    <w:p/>
    <w:p>
      <w:r>
        <w:t>5. Testing Validation</w:t>
      </w:r>
    </w:p>
    <w:p>
      <w:r>
        <w:t>The iflow1 integration flow has been thoroughly tested to ensure its correctness and reliability. The testing process involved the following steps:</w:t>
      </w:r>
    </w:p>
    <w:p>
      <w:r>
        <w:t>- Unit testing: Each component of the integration flow was tested individually to ensure its correctness.</w:t>
      </w:r>
    </w:p>
    <w:p>
      <w:r>
        <w:t>- Integration testing: The entire integration flow was tested to ensure its correctness and reliability.</w:t>
      </w:r>
    </w:p>
    <w:p>
      <w:r>
        <w:t>- User acceptance testing: The integration flow was tested by end-users to ensure its correctness and usability.</w:t>
      </w:r>
    </w:p>
    <w:p/>
    <w:p>
      <w:r>
        <w:t>6. Reference Documents</w:t>
      </w:r>
    </w:p>
    <w:p>
      <w:r>
        <w:t>The following documents are referenced in this documentation:</w:t>
      </w:r>
    </w:p>
    <w:p>
      <w:r>
        <w:t>- SAP CPI Documentation: This document provides a comprehensive overview of the SAP CPI platform and its features.</w:t>
      </w:r>
    </w:p>
    <w:p>
      <w:r>
        <w:t>- iflow1 Design Document: This document provides a detailed description of the iflow1 integration flow, including its architecture and components.</w:t>
      </w:r>
    </w:p>
    <w:p>
      <w:r>
        <w:t>- Testing Report: This document provides a summary of the testing results and any issues that were encountered during the testing process.</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097280" cy="1097280"/>
          <wp:docPr id="5" name="Picture 5"/>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1097280" cy="1097280"/>
                  </a:xfrm>
                  <a:prstGeom prst="rect"/>
                </pic:spPr>
              </pic:pic>
            </a:graphicData>
          </a:graphic>
        </wp:inline>
      </w:drawing>
    </w:r>
  </w:p>
  <w:p>
    <w:pPr>
      <w:jc w:val="right"/>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1097280" cy="1097280"/>
                  </a:xfrm>
                  <a:prstGeom prst="rect"/>
                </pic:spPr>
              </pic:pic>
            </a:graphicData>
          </a:graphic>
        </wp:inline>
      </w:drawing>
    </w:r>
  </w:p>
  <w:p>
    <w:pPr>
      <w:jc w:val="right"/>
    </w:pPr>
    <w:r>
      <w:drawing>
        <wp:inline xmlns:a="http://schemas.openxmlformats.org/drawingml/2006/main" xmlns:pic="http://schemas.openxmlformats.org/drawingml/2006/picture">
          <wp:extent cx="1097280" cy="1097280"/>
          <wp:docPr id="4" name="Picture 4"/>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1097280" cy="1097280"/>
                  </a:xfrm>
                  <a:prstGeom prst="rect"/>
                </pic:spPr>
              </pic:pic>
            </a:graphicData>
          </a:graphic>
        </wp:inline>
      </w:drawing>
    </w:r>
  </w:p>
  <w:p>
    <w:pPr>
      <w:jc w:val="right"/>
    </w:pPr>
    <w:r>
      <w:drawing>
        <wp:inline xmlns:a="http://schemas.openxmlformats.org/drawingml/2006/main" xmlns:pic="http://schemas.openxmlformats.org/drawingml/2006/picture">
          <wp:extent cx="1097280" cy="1097280"/>
          <wp:docPr id="6" name="Picture 6"/>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1097280" cy="109728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