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&lt;div style="float:left;"&gt;&lt;img src="https://raw.githubusercontent.com/Rohancherian783/trail1/main/assets/sap_logo.png" style="width:140px;"/&gt;&lt;/div&gt;</w:t>
      </w:r>
      <w:r>
        <w:br/>
      </w:r>
      <w:r>
        <w:rPr>
          <w:rStyle w:val="VerbatimChar"/>
        </w:rPr>
        <w:t xml:space="preserve">&lt;div style="float:right;"&gt;&lt;img src="https://raw.githubusercontent.com/Rohancherian783/trail1/main/assets/motiveminds_logo.png" style="width:150px;"/&gt;&lt;/div&gt;</w:t>
      </w:r>
      <w:r>
        <w:br/>
      </w:r>
      <w:r>
        <w:rPr>
          <w:rStyle w:val="VerbatimChar"/>
        </w:rPr>
        <w:t xml:space="preserve">&lt;div style="clear:both;"&gt;&lt;/div&gt;</w:t>
      </w:r>
    </w:p>
    <w:p>
      <w:pPr>
        <w:pStyle w:val="FirstParagraph"/>
      </w:pPr>
      <w:r>
        <w:t xml:space="preserve">integrationflow</w:t>
      </w:r>
    </w:p>
    <w:p>
      <w:pPr>
        <w:pStyle w:val="BodyText"/>
      </w:pPr>
      <w:r>
        <w:t xml:space="preserve">Author</w:t>
      </w:r>
    </w:p>
    <w:p>
      <w:pPr>
        <w:pStyle w:val="BodyText"/>
      </w:pPr>
      <w:r>
        <w:t xml:space="preserve">Akila710</w:t>
      </w:r>
    </w:p>
    <w:p>
      <w:pPr>
        <w:pStyle w:val="BodyText"/>
      </w:pPr>
      <w:r>
        <w:t xml:space="preserve">Date</w:t>
      </w:r>
    </w:p>
    <w:p>
      <w:pPr>
        <w:pStyle w:val="BodyText"/>
      </w:pPr>
      <w:r>
        <w:t xml:space="preserve">2026-01-06</w:t>
      </w:r>
    </w:p>
    <w:p>
      <w:pPr>
        <w:pStyle w:val="BodyText"/>
      </w:pPr>
      <w:r>
        <w:t xml:space="preserve">Version</w:t>
      </w:r>
    </w:p>
    <w:p>
      <w:pPr>
        <w:pStyle w:val="BodyText"/>
      </w:pPr>
      <w:r>
        <w:t xml:space="preserve">Draft</w:t>
      </w:r>
    </w:p>
    <w:p>
      <w:pPr>
        <w:pStyle w:val="BodyText"/>
      </w:pPr>
      <w:r>
        <w:t xml:space="preserve">Table of Contents</w:t>
      </w:r>
    </w:p>
    <w:p>
      <w:pPr>
        <w:numPr>
          <w:ilvl w:val="0"/>
          <w:numId w:val="1001"/>
        </w:numPr>
        <w:pStyle w:val="Compact"/>
      </w:pPr>
      <w:r>
        <w:t xml:space="preserve">Introduction</w:t>
      </w:r>
      <w:r>
        <w:t xml:space="preserve"> </w:t>
      </w:r>
      <w:r>
        <w:t xml:space="preserve"> </w:t>
      </w:r>
      <w:r>
        <w:t xml:space="preserve">  1.1 Purpose</w:t>
      </w:r>
      <w:r>
        <w:t xml:space="preserve"> </w:t>
      </w:r>
      <w:r>
        <w:t xml:space="preserve"> </w:t>
      </w:r>
      <w:r>
        <w:t xml:space="preserve">  1.2 Scope</w:t>
      </w:r>
      <w:r>
        <w:t xml:space="preserve"> </w:t>
      </w:r>
    </w:p>
    <w:p>
      <w:pPr>
        <w:numPr>
          <w:ilvl w:val="0"/>
          <w:numId w:val="1001"/>
        </w:numPr>
        <w:pStyle w:val="Compact"/>
      </w:pPr>
      <w:r>
        <w:t xml:space="preserve">Integration Overview</w:t>
      </w:r>
      <w:r>
        <w:t xml:space="preserve"> </w:t>
      </w:r>
      <w:r>
        <w:t xml:space="preserve"> </w:t>
      </w:r>
      <w:r>
        <w:t xml:space="preserve">  2.1 Integration Architecture</w:t>
      </w:r>
      <w:r>
        <w:t xml:space="preserve"> </w:t>
      </w:r>
      <w:r>
        <w:t xml:space="preserve"> </w:t>
      </w:r>
      <w:r>
        <w:t xml:space="preserve">  2.2 Integration Components</w:t>
      </w:r>
      <w:r>
        <w:t xml:space="preserve"> </w:t>
      </w:r>
    </w:p>
    <w:p>
      <w:pPr>
        <w:numPr>
          <w:ilvl w:val="0"/>
          <w:numId w:val="1001"/>
        </w:numPr>
        <w:pStyle w:val="Compact"/>
      </w:pPr>
      <w:r>
        <w:t xml:space="preserve">Integration Scenarios</w:t>
      </w:r>
      <w:r>
        <w:t xml:space="preserve"> </w:t>
      </w:r>
      <w:r>
        <w:t xml:space="preserve"> </w:t>
      </w:r>
      <w:r>
        <w:t xml:space="preserve">  3.1 Scenario Description</w:t>
      </w:r>
      <w:r>
        <w:t xml:space="preserve"> </w:t>
      </w:r>
      <w:r>
        <w:t xml:space="preserve"> </w:t>
      </w:r>
      <w:r>
        <w:t xml:space="preserve">  3.2 Data Flows</w:t>
      </w:r>
      <w:r>
        <w:t xml:space="preserve"> </w:t>
      </w:r>
      <w:r>
        <w:t xml:space="preserve"> </w:t>
      </w:r>
      <w:r>
        <w:t xml:space="preserve">  3.3 Security Requirements</w:t>
      </w:r>
      <w:r>
        <w:t xml:space="preserve"> </w:t>
      </w:r>
    </w:p>
    <w:p>
      <w:pPr>
        <w:numPr>
          <w:ilvl w:val="0"/>
          <w:numId w:val="1001"/>
        </w:numPr>
        <w:pStyle w:val="Compact"/>
      </w:pPr>
      <w:r>
        <w:t xml:space="preserve">Error Handling and Logging</w:t>
      </w:r>
      <w:r>
        <w:t xml:space="preserve"> </w:t>
      </w:r>
    </w:p>
    <w:p>
      <w:pPr>
        <w:numPr>
          <w:ilvl w:val="0"/>
          <w:numId w:val="1001"/>
        </w:numPr>
        <w:pStyle w:val="Compact"/>
      </w:pPr>
      <w:r>
        <w:t xml:space="preserve">Testing Validation</w:t>
      </w:r>
      <w:r>
        <w:t xml:space="preserve"> </w:t>
      </w:r>
    </w:p>
    <w:p>
      <w:pPr>
        <w:numPr>
          <w:ilvl w:val="0"/>
          <w:numId w:val="1001"/>
        </w:numPr>
        <w:pStyle w:val="Compact"/>
      </w:pPr>
      <w:r>
        <w:t xml:space="preserve">Reference Documents</w:t>
      </w:r>
      <w:r>
        <w:t xml:space="preserve"> </w:t>
      </w:r>
    </w:p>
    <w:p>
      <w:pPr>
        <w:numPr>
          <w:ilvl w:val="1"/>
          <w:numId w:val="1002"/>
        </w:numPr>
        <w:pStyle w:val="Compact"/>
      </w:pPr>
      <w:r>
        <w:t xml:space="preserve">Introduction</w:t>
      </w:r>
    </w:p>
    <w:p>
      <w:pPr>
        <w:numPr>
          <w:ilvl w:val="1"/>
          <w:numId w:val="1000"/>
        </w:numPr>
        <w:pStyle w:val="Compact"/>
      </w:pPr>
      <w:r>
        <w:t xml:space="preserve">1.1 Purpose:</w:t>
      </w:r>
      <w:r>
        <w:br/>
      </w:r>
      <w:r>
        <w:t xml:space="preserve">The purpose of the</w:t>
      </w:r>
      <w:r>
        <w:t xml:space="preserve"> </w:t>
      </w:r>
      <w:r>
        <w:t xml:space="preserve">‘</w:t>
      </w:r>
      <w:r>
        <w:t xml:space="preserve">integrationflow</w:t>
      </w:r>
      <w:r>
        <w:t xml:space="preserve">’</w:t>
      </w:r>
      <w:r>
        <w:t xml:space="preserve"> </w:t>
      </w:r>
      <w:r>
        <w:t xml:space="preserve">iFlow is to facilitate seamless data exchange between the Sender and Receiver endpoints. This integration addresses the business need for real-time data synchronization, ensuring that critical information is consistently updated across systems. The trigger mechanism for this iFlow is an incoming message event, which initiates the integration process. The technical outcome is the successful transmission of data from the Sender to the Receiver, with logging enabled for all events to ensure traceability.</w:t>
      </w:r>
    </w:p>
    <w:p>
      <w:pPr>
        <w:pStyle w:val="FirstParagraph"/>
      </w:pPr>
      <w:r>
        <w:t xml:space="preserve">1.2 Scope:</w:t>
      </w:r>
      <w:r>
        <w:br/>
      </w:r>
      <w:r>
        <w:t xml:space="preserve">The scope of this iFlow includes the following endpoints:</w:t>
      </w:r>
      <w:r>
        <w:t xml:space="preserve"> </w:t>
      </w:r>
      <w:r>
        <w:t xml:space="preserve">-</w:t>
      </w:r>
      <w:r>
        <w:t xml:space="preserve"> </w:t>
      </w:r>
      <w:r>
        <w:rPr>
          <w:bCs/>
          <w:b/>
        </w:rPr>
        <w:t xml:space="preserve">Sender Endpoint</w:t>
      </w:r>
      <w:r>
        <w:t xml:space="preserve">: Initiates the data transfer.</w:t>
      </w:r>
      <w:r>
        <w:t xml:space="preserve"> </w:t>
      </w:r>
      <w:r>
        <w:t xml:space="preserve">-</w:t>
      </w:r>
      <w:r>
        <w:t xml:space="preserve"> </w:t>
      </w:r>
      <w:r>
        <w:rPr>
          <w:bCs/>
          <w:b/>
        </w:rPr>
        <w:t xml:space="preserve">Receiver Endpoint</w:t>
      </w:r>
      <w:r>
        <w:t xml:space="preserve">: Receives the data from the Sender.</w:t>
      </w:r>
    </w:p>
    <w:p>
      <w:pPr>
        <w:pStyle w:val="BodyText"/>
      </w:pPr>
      <w:r>
        <w:t xml:space="preserve">The data transformation logic involves mapping the incoming data format from the Sender to the required format for the Receiver. The target systems include any applications or databases that the Receiver endpoint connects to, ensuring that the data is accurately processed and stored.</w:t>
      </w:r>
    </w:p>
    <w:p>
      <w:pPr>
        <w:numPr>
          <w:ilvl w:val="0"/>
          <w:numId w:val="1003"/>
        </w:numPr>
        <w:pStyle w:val="Compact"/>
      </w:pPr>
      <w:r>
        <w:t xml:space="preserve">Integration Overview</w:t>
      </w:r>
    </w:p>
    <w:p>
      <w:pPr>
        <w:numPr>
          <w:ilvl w:val="0"/>
          <w:numId w:val="1000"/>
        </w:numPr>
        <w:pStyle w:val="Compact"/>
      </w:pPr>
      <w:r>
        <w:t xml:space="preserve">2.1 Integration Architecture:</w:t>
      </w:r>
      <w:r>
        <w:br/>
      </w:r>
      <w:r>
        <w:t xml:space="preserve">The integration architecture consists of a simple flow where the process begins with a Start Event, followed by a sequence flow leading to an End Event. The architecture is designed to be straightforward, ensuring minimal latency and high reliability.</w:t>
      </w:r>
    </w:p>
    <w:p>
      <w:pPr>
        <w:pStyle w:val="CaptionedFigure"/>
      </w:pPr>
      <w:r>
        <w:drawing>
          <wp:inline>
            <wp:extent cx="2717800" cy="3530600"/>
            <wp:effectExtent b="0" l="0" r="0" t="0"/>
            <wp:docPr descr="Integration Architecture" title="" id="21" name="Picture"/>
            <a:graphic>
              <a:graphicData uri="http://schemas.openxmlformats.org/drawingml/2006/picture">
                <pic:pic>
                  <pic:nvPicPr>
                    <pic:cNvPr descr="architecture.png" id="22" name="Picture"/>
                    <pic:cNvPicPr>
                      <a:picLocks noChangeArrowheads="1" noChangeAspect="1"/>
                    </pic:cNvPicPr>
                  </pic:nvPicPr>
                  <pic:blipFill>
                    <a:blip r:embed="rId20"/>
                    <a:stretch>
                      <a:fillRect/>
                    </a:stretch>
                  </pic:blipFill>
                  <pic:spPr bwMode="auto">
                    <a:xfrm>
                      <a:off x="0" y="0"/>
                      <a:ext cx="2717800" cy="3530600"/>
                    </a:xfrm>
                    <a:prstGeom prst="rect">
                      <a:avLst/>
                    </a:prstGeom>
                    <a:noFill/>
                    <a:ln w="9525">
                      <a:noFill/>
                      <a:headEnd/>
                      <a:tailEnd/>
                    </a:ln>
                  </pic:spPr>
                </pic:pic>
              </a:graphicData>
            </a:graphic>
          </wp:inline>
        </w:drawing>
      </w:r>
    </w:p>
    <w:p>
      <w:pPr>
        <w:pStyle w:val="ImageCaption"/>
      </w:pPr>
      <w:r>
        <w:t xml:space="preserve">Integration Architecture</w:t>
      </w:r>
    </w:p>
    <w:p>
      <w:pPr>
        <w:pStyle w:val="BodyText"/>
      </w:pPr>
      <w:r>
        <w:t xml:space="preserve">2.2 Integration Components:</w:t>
      </w:r>
      <w:r>
        <w:br/>
      </w:r>
      <w:r>
        <w:t xml:space="preserve">The integration components involved in this iFlow include:</w:t>
      </w:r>
    </w:p>
    <w:tbl>
      <w:tblPr>
        <w:tblStyle w:val="Table"/>
        <w:tblW w:type="pct" w:w="5000"/>
        <w:tblLook w:firstRow="1" w:lastRow="0" w:firstColumn="0" w:lastColumn="0" w:noHBand="0" w:noVBand="0" w:val="0020"/>
        <w:jc w:val="start"/>
      </w:tblPr>
      <w:tblGrid>
        <w:gridCol w:w="1541"/>
        <w:gridCol w:w="1471"/>
        <w:gridCol w:w="4906"/>
      </w:tblGrid>
      <w:tr>
        <w:trPr>
          <w:tblHeader w:val="true"/>
        </w:trPr>
        <w:tc>
          <w:tcPr/>
          <w:p>
            <w:pPr>
              <w:pStyle w:val="Compact"/>
              <w:jc w:val="left"/>
            </w:pPr>
            <w:r>
              <w:t xml:space="preserve">Component Type</w:t>
            </w:r>
          </w:p>
        </w:tc>
        <w:tc>
          <w:tcPr/>
          <w:p>
            <w:pPr>
              <w:pStyle w:val="Compact"/>
              <w:jc w:val="left"/>
            </w:pPr>
            <w:r>
              <w:t xml:space="preserve">Name</w:t>
            </w:r>
          </w:p>
        </w:tc>
        <w:tc>
          <w:tcPr/>
          <w:p>
            <w:pPr>
              <w:pStyle w:val="Compact"/>
              <w:jc w:val="left"/>
            </w:pPr>
            <w:r>
              <w:t xml:space="preserve">Role</w:t>
            </w:r>
          </w:p>
        </w:tc>
      </w:tr>
      <w:tr>
        <w:tc>
          <w:tcPr/>
          <w:p>
            <w:pPr>
              <w:pStyle w:val="Compact"/>
              <w:jc w:val="left"/>
            </w:pPr>
            <w:r>
              <w:t xml:space="preserve">Adapter</w:t>
            </w:r>
          </w:p>
        </w:tc>
        <w:tc>
          <w:tcPr/>
          <w:p>
            <w:pPr>
              <w:pStyle w:val="Compact"/>
              <w:jc w:val="left"/>
            </w:pPr>
            <w:r>
              <w:t xml:space="preserve">EndpointSender</w:t>
            </w:r>
          </w:p>
        </w:tc>
        <w:tc>
          <w:tcPr/>
          <w:p>
            <w:pPr>
              <w:pStyle w:val="Compact"/>
              <w:jc w:val="left"/>
            </w:pPr>
            <w:r>
              <w:t xml:space="preserve">Sends data to the integration process.</w:t>
            </w:r>
          </w:p>
        </w:tc>
      </w:tr>
      <w:tr>
        <w:tc>
          <w:tcPr/>
          <w:p>
            <w:pPr>
              <w:pStyle w:val="Compact"/>
              <w:jc w:val="left"/>
            </w:pPr>
            <w:r>
              <w:t xml:space="preserve">Adapter</w:t>
            </w:r>
          </w:p>
        </w:tc>
        <w:tc>
          <w:tcPr/>
          <w:p>
            <w:pPr>
              <w:pStyle w:val="Compact"/>
              <w:jc w:val="left"/>
            </w:pPr>
            <w:r>
              <w:t xml:space="preserve">EndpointReceiver</w:t>
            </w:r>
          </w:p>
        </w:tc>
        <w:tc>
          <w:tcPr/>
          <w:p>
            <w:pPr>
              <w:pStyle w:val="Compact"/>
              <w:jc w:val="left"/>
            </w:pPr>
            <w:r>
              <w:t xml:space="preserve">Receives data from the integration process.</w:t>
            </w:r>
          </w:p>
        </w:tc>
      </w:tr>
      <w:tr>
        <w:tc>
          <w:tcPr/>
          <w:p>
            <w:pPr>
              <w:pStyle w:val="Compact"/>
              <w:jc w:val="left"/>
            </w:pPr>
            <w:r>
              <w:t xml:space="preserve">Script</w:t>
            </w:r>
          </w:p>
        </w:tc>
        <w:tc>
          <w:tcPr/>
          <w:p>
            <w:pPr>
              <w:pStyle w:val="Compact"/>
              <w:jc w:val="left"/>
            </w:pPr>
            <w:r>
              <w:t xml:space="preserve">TransformationScript</w:t>
            </w:r>
          </w:p>
        </w:tc>
        <w:tc>
          <w:tcPr/>
          <w:p>
            <w:pPr>
              <w:pStyle w:val="Compact"/>
              <w:jc w:val="left"/>
            </w:pPr>
            <w:r>
              <w:t xml:space="preserve">Handles data transformation logic between Sender and Receiver formats.</w:t>
            </w:r>
          </w:p>
        </w:tc>
      </w:tr>
      <w:tr>
        <w:tc>
          <w:tcPr/>
          <w:p>
            <w:pPr>
              <w:pStyle w:val="Compact"/>
              <w:jc w:val="left"/>
            </w:pPr>
            <w:r>
              <w:t xml:space="preserve">Content Modifier</w:t>
            </w:r>
          </w:p>
        </w:tc>
        <w:tc>
          <w:tcPr/>
          <w:p>
            <w:pPr>
              <w:pStyle w:val="Compact"/>
              <w:jc w:val="left"/>
            </w:pPr>
            <w:r>
              <w:t xml:space="preserve">ContentModifier</w:t>
            </w:r>
          </w:p>
        </w:tc>
        <w:tc>
          <w:tcPr/>
          <w:p>
            <w:pPr>
              <w:pStyle w:val="Compact"/>
              <w:jc w:val="left"/>
            </w:pPr>
            <w:r>
              <w:t xml:space="preserve">Modifies message content as required before sending to the Receiver.</w:t>
            </w:r>
          </w:p>
        </w:tc>
      </w:tr>
    </w:tbl>
    <w:p>
      <w:pPr>
        <w:numPr>
          <w:ilvl w:val="0"/>
          <w:numId w:val="1004"/>
        </w:numPr>
        <w:pStyle w:val="Compact"/>
      </w:pPr>
      <w:r>
        <w:t xml:space="preserve">Integration Scenarios</w:t>
      </w:r>
    </w:p>
    <w:p>
      <w:pPr>
        <w:numPr>
          <w:ilvl w:val="0"/>
          <w:numId w:val="1000"/>
        </w:numPr>
        <w:pStyle w:val="Compact"/>
      </w:pPr>
      <w:r>
        <w:t xml:space="preserve">3.1 Scenario Description:</w:t>
      </w:r>
      <w:r>
        <w:br/>
      </w:r>
      <w:r>
        <w:t xml:space="preserve">The integration process follows these steps:</w:t>
      </w:r>
    </w:p>
    <w:p>
      <w:pPr>
        <w:numPr>
          <w:ilvl w:val="0"/>
          <w:numId w:val="1004"/>
        </w:numPr>
        <w:pStyle w:val="Compact"/>
      </w:pPr>
      <w:r>
        <w:rPr>
          <w:bCs/>
          <w:b/>
        </w:rPr>
        <w:t xml:space="preserve">Start Event</w:t>
      </w:r>
      <w:r>
        <w:t xml:space="preserve">: The process is triggered by an incoming message at the Sender endpoint.</w:t>
      </w:r>
    </w:p>
    <w:p>
      <w:pPr>
        <w:numPr>
          <w:ilvl w:val="0"/>
          <w:numId w:val="1004"/>
        </w:numPr>
        <w:pStyle w:val="Compact"/>
      </w:pPr>
      <w:r>
        <w:rPr>
          <w:bCs/>
          <w:b/>
        </w:rPr>
        <w:t xml:space="preserve">Data Processing</w:t>
      </w:r>
      <w:r>
        <w:t xml:space="preserve">: The data is processed through the Integration Process, where transformation logic is applied.</w:t>
      </w:r>
    </w:p>
    <w:p>
      <w:pPr>
        <w:numPr>
          <w:ilvl w:val="0"/>
          <w:numId w:val="1004"/>
        </w:numPr>
        <w:pStyle w:val="Compact"/>
      </w:pPr>
      <w:r>
        <w:rPr>
          <w:bCs/>
          <w:b/>
        </w:rPr>
        <w:t xml:space="preserve">End Event</w:t>
      </w:r>
      <w:r>
        <w:t xml:space="preserve">: The process concludes with the data being sent to the Receiver endpoint.</w:t>
      </w:r>
    </w:p>
    <w:p>
      <w:pPr>
        <w:pStyle w:val="FirstParagraph"/>
      </w:pPr>
      <w:r>
        <w:t xml:space="preserve">3.2 Data Flows:</w:t>
      </w:r>
      <w:r>
        <w:br/>
      </w:r>
      <w:r>
        <w:t xml:space="preserve">The data flow can be summarized as follows:</w:t>
      </w:r>
    </w:p>
    <w:tbl>
      <w:tblPr>
        <w:tblStyle w:val="Table"/>
        <w:tblW w:type="pct" w:w="5000"/>
        <w:tblLook w:firstRow="1" w:lastRow="0" w:firstColumn="0" w:lastColumn="0" w:noHBand="0" w:noVBand="0" w:val="0020"/>
        <w:jc w:val="start"/>
      </w:tblPr>
      <w:tblGrid>
        <w:gridCol w:w="594"/>
        <w:gridCol w:w="1683"/>
        <w:gridCol w:w="1683"/>
        <w:gridCol w:w="3960"/>
      </w:tblGrid>
      <w:tr>
        <w:trPr>
          <w:tblHeader w:val="true"/>
        </w:trPr>
        <w:tc>
          <w:tcPr/>
          <w:p>
            <w:pPr>
              <w:pStyle w:val="Compact"/>
              <w:jc w:val="left"/>
            </w:pPr>
            <w:r>
              <w:t xml:space="preserve">Step</w:t>
            </w:r>
          </w:p>
        </w:tc>
        <w:tc>
          <w:tcPr/>
          <w:p>
            <w:pPr>
              <w:pStyle w:val="Compact"/>
              <w:jc w:val="left"/>
            </w:pPr>
            <w:r>
              <w:t xml:space="preserve">Source</w:t>
            </w:r>
          </w:p>
        </w:tc>
        <w:tc>
          <w:tcPr/>
          <w:p>
            <w:pPr>
              <w:pStyle w:val="Compact"/>
              <w:jc w:val="left"/>
            </w:pPr>
            <w:r>
              <w:t xml:space="preserve">Target</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Sender Endpoint</w:t>
            </w:r>
          </w:p>
        </w:tc>
        <w:tc>
          <w:tcPr/>
          <w:p>
            <w:pPr>
              <w:pStyle w:val="Compact"/>
              <w:jc w:val="left"/>
            </w:pPr>
            <w:r>
              <w:t xml:space="preserve">Integration Process</w:t>
            </w:r>
          </w:p>
        </w:tc>
        <w:tc>
          <w:tcPr/>
          <w:p>
            <w:pPr>
              <w:pStyle w:val="Compact"/>
              <w:jc w:val="left"/>
            </w:pPr>
            <w:r>
              <w:t xml:space="preserve">Send data to the integration process.</w:t>
            </w:r>
          </w:p>
        </w:tc>
      </w:tr>
      <w:tr>
        <w:tc>
          <w:tcPr/>
          <w:p>
            <w:pPr>
              <w:pStyle w:val="Compact"/>
              <w:jc w:val="left"/>
            </w:pPr>
            <w:r>
              <w:t xml:space="preserve">2</w:t>
            </w:r>
          </w:p>
        </w:tc>
        <w:tc>
          <w:tcPr/>
          <w:p>
            <w:pPr>
              <w:pStyle w:val="Compact"/>
              <w:jc w:val="left"/>
            </w:pPr>
            <w:r>
              <w:t xml:space="preserve">Integration Process</w:t>
            </w:r>
          </w:p>
        </w:tc>
        <w:tc>
          <w:tcPr/>
          <w:p>
            <w:pPr>
              <w:pStyle w:val="Compact"/>
              <w:jc w:val="left"/>
            </w:pPr>
            <w:r>
              <w:t xml:space="preserve">Receiver Endpoint</w:t>
            </w:r>
          </w:p>
        </w:tc>
        <w:tc>
          <w:tcPr/>
          <w:p>
            <w:pPr>
              <w:pStyle w:val="Compact"/>
              <w:jc w:val="left"/>
            </w:pPr>
            <w:r>
              <w:t xml:space="preserve">Send transformed data to the receiver.</w:t>
            </w:r>
          </w:p>
        </w:tc>
      </w:tr>
    </w:tbl>
    <w:p>
      <w:pPr>
        <w:pStyle w:val="BodyText"/>
      </w:pPr>
      <w:r>
        <w:t xml:space="preserve">3.3 Security Requirements:</w:t>
      </w:r>
      <w:r>
        <w:br/>
      </w:r>
      <w:r>
        <w:t xml:space="preserve">The integration flow does not require basic authentication, and CORS is disabled. However, it is essential to ensure that data is transmitted securely, and any sensitive information is handled according to organizational security policies.</w:t>
      </w:r>
    </w:p>
    <w:p>
      <w:pPr>
        <w:numPr>
          <w:ilvl w:val="0"/>
          <w:numId w:val="1005"/>
        </w:numPr>
        <w:pStyle w:val="Compact"/>
      </w:pPr>
      <w:r>
        <w:t xml:space="preserve">Error Handling and Logging</w:t>
      </w:r>
    </w:p>
    <w:p>
      <w:pPr>
        <w:numPr>
          <w:ilvl w:val="0"/>
          <w:numId w:val="1000"/>
        </w:numPr>
        <w:pStyle w:val="Compact"/>
      </w:pPr>
      <w:r>
        <w:t xml:space="preserve">Error handling will be implemented to capture any issues during the data transfer process. All events will be logged for monitoring and troubleshooting purposes, allowing for quick identification and resolution of errors.</w:t>
      </w:r>
    </w:p>
    <w:p>
      <w:pPr>
        <w:numPr>
          <w:ilvl w:val="0"/>
          <w:numId w:val="1006"/>
        </w:numPr>
        <w:pStyle w:val="Compact"/>
      </w:pPr>
      <w:r>
        <w:t xml:space="preserve">Testing Validation</w:t>
      </w:r>
    </w:p>
    <w:p>
      <w:pPr>
        <w:numPr>
          <w:ilvl w:val="0"/>
          <w:numId w:val="1000"/>
        </w:numPr>
        <w:pStyle w:val="Compact"/>
      </w:pPr>
      <w:r>
        <w:t xml:space="preserve">Testing will be conducted to validate the functionality of the iFlow. This includes unit testing of individual components, integration testing to ensure data flows correctly between Sender and Receiver, and performance testing to assess the system’s responsiveness under load.</w:t>
      </w:r>
    </w:p>
    <w:p>
      <w:pPr>
        <w:numPr>
          <w:ilvl w:val="0"/>
          <w:numId w:val="1007"/>
        </w:numPr>
        <w:pStyle w:val="Compact"/>
      </w:pPr>
      <w:r>
        <w:t xml:space="preserve">Reference Documents</w:t>
      </w:r>
    </w:p>
    <w:p>
      <w:pPr>
        <w:numPr>
          <w:ilvl w:val="0"/>
          <w:numId w:val="1008"/>
        </w:numPr>
        <w:pStyle w:val="Compact"/>
      </w:pPr>
      <w:r>
        <w:t xml:space="preserve">SAP CPI Documentation</w:t>
      </w:r>
    </w:p>
    <w:p>
      <w:pPr>
        <w:numPr>
          <w:ilvl w:val="0"/>
          <w:numId w:val="1008"/>
        </w:numPr>
        <w:pStyle w:val="Compact"/>
      </w:pPr>
      <w:r>
        <w:t xml:space="preserve">Integration Patterns and Best Practices</w:t>
      </w:r>
    </w:p>
    <w:p>
      <w:pPr>
        <w:numPr>
          <w:ilvl w:val="0"/>
          <w:numId w:val="1008"/>
        </w:numPr>
        <w:pStyle w:val="Compact"/>
      </w:pPr>
      <w:r>
        <w:t xml:space="preserve">Security Guidelines for Data Integration</w:t>
      </w:r>
    </w:p>
    <w:sectPr>
      <w:head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4" name="Picture 4"/>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5" name="Picture 5"/>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6" name="Picture 6"/>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7" name="Picture 7"/>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8" name="Picture 8"/>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9" name="Picture 9"/>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10" name="Picture 10"/>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11" name="Picture 1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12" name="Picture 1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13" name="Picture 13"/>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14" name="Picture 14"/>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tbl>
    <w:tblPr>
      <w:tblW w:type="auto" w:w="0"/>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188720" cy="1188720"/>
                <wp:docPr id="15" name="Picture 15"/>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88720" cy="11887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280160"/>
                <wp:docPr id="16" name="Picture 16"/>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80160" cy="1280160"/>
                        </a:xfrm>
                        <a:prstGeom prst="rect"/>
                      </pic:spPr>
                    </pic:pic>
                  </a:graphicData>
                </a:graphic>
              </wp:inline>
            </w:drawing>
          </w:r>
        </w:p>
      </w:tc>
    </w:tr>
  </w:tbl>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2026-01-06T05:27:07Z</dcterms:created>
  <dcterms:modified xsi:type="dcterms:W3CDTF">2026-01-06T05:27:07Z</dcterms:modified>
</cp:coreProperties>
</file>

<file path=docProps/custom.xml><?xml version="1.0" encoding="utf-8"?>
<Properties xmlns="http://schemas.openxmlformats.org/officeDocument/2006/custom-properties" xmlns:vt="http://schemas.openxmlformats.org/officeDocument/2006/docPropsVTypes"/>
</file>