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864"/>
          <w:sz w:val="64"/>
        </w:rPr>
        <w:t>iflow1</w:t>
      </w:r>
    </w:p>
    <w:p>
      <w:pPr>
        <w:jc w:val="center"/>
      </w:pPr>
      <w:r>
        <w:t>Technical Specification Document</w:t>
      </w:r>
    </w:p>
    <w:tbl>
      <w:tblPr>
        <w:tblStyle w:val="TableGrid"/>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t>Akila710</w:t>
            </w:r>
          </w:p>
        </w:tc>
      </w:tr>
      <w:tr>
        <w:tc>
          <w:tcPr>
            <w:tcW w:type="dxa" w:w="4320"/>
          </w:tcPr>
          <w:p>
            <w:r>
              <w:t>Date:</w:t>
            </w:r>
          </w:p>
        </w:tc>
        <w:tc>
          <w:tcPr>
            <w:tcW w:type="dxa" w:w="4320"/>
          </w:tcPr>
          <w:p>
            <w:r>
              <w:t>2026-01-07</w:t>
            </w:r>
          </w:p>
        </w:tc>
      </w:tr>
      <w:tr>
        <w:tc>
          <w:tcPr>
            <w:tcW w:type="dxa" w:w="4320"/>
          </w:tcPr>
          <w:p>
            <w:r>
              <w:t>Version:</w:t>
            </w:r>
          </w:p>
        </w:tc>
        <w:tc>
          <w:tcPr>
            <w:tcW w:type="dxa" w:w="4320"/>
          </w:tcPr>
          <w:p>
            <w:r>
              <w:t>1.0</w:t>
            </w:r>
          </w:p>
        </w:tc>
      </w:tr>
    </w:tbl>
    <w:p>
      <w:r>
        <w:br w:type="page"/>
      </w:r>
    </w:p>
    <w:p>
      <w:pPr>
        <w:pStyle w:val="Heading1"/>
      </w:pPr>
      <w:r>
        <w:t>Table of Contents</w:t>
      </w:r>
    </w:p>
    <w:p>
      <w:r>
        <w:t>1. Introduction</w:t>
      </w:r>
    </w:p>
    <w:p>
      <w:pPr>
        <w:ind w:left="432"/>
      </w:pPr>
      <w:r>
        <w:t xml:space="preserve">  1.1 Purpose</w:t>
      </w:r>
    </w:p>
    <w:p>
      <w:pPr>
        <w:ind w:left="432"/>
      </w:pPr>
      <w:r>
        <w:t xml:space="preserve">  1.2 Scope</w:t>
      </w:r>
    </w:p>
    <w:p>
      <w:r>
        <w:t>2. Integration Overview</w:t>
      </w:r>
    </w:p>
    <w:p>
      <w:pPr>
        <w:ind w:left="432"/>
      </w:pPr>
      <w:r>
        <w:t xml:space="preserve">  2.1 Integration Architecture</w:t>
      </w:r>
    </w:p>
    <w:p>
      <w:pPr>
        <w:ind w:left="432"/>
      </w:pPr>
      <w:r>
        <w:t xml:space="preserve">  2.2 Integration Components</w:t>
      </w:r>
    </w:p>
    <w:p>
      <w:r>
        <w:t>3. Integration Scenarios</w:t>
      </w:r>
    </w:p>
    <w:p>
      <w:pPr>
        <w:ind w:left="432"/>
      </w:pPr>
      <w:r>
        <w:t xml:space="preserve">  3.1 Scenario Description</w:t>
      </w:r>
    </w:p>
    <w:p>
      <w:pPr>
        <w:ind w:left="432"/>
      </w:pPr>
      <w:r>
        <w:t xml:space="preserve">  3.2 Data Flows</w:t>
      </w:r>
    </w:p>
    <w:p>
      <w:pPr>
        <w:ind w:left="432"/>
      </w:pPr>
      <w:r>
        <w:t xml:space="preserve">  3.3 Security Requirements</w:t>
      </w:r>
    </w:p>
    <w:p>
      <w:r>
        <w:t>4. Error Handling</w:t>
      </w:r>
    </w:p>
    <w:p>
      <w:r>
        <w:t>5. Testing Validation</w:t>
      </w:r>
    </w:p>
    <w:p>
      <w:r>
        <w:br w:type="page"/>
      </w:r>
    </w:p>
    <w:p>
      <w:pPr>
        <w:pStyle w:val="Heading1"/>
      </w:pPr>
      <w:r>
        <w:rPr>
          <w:color w:val="1F3864"/>
          <w:sz w:val="32"/>
        </w:rPr>
        <w:t>1. Introduction</w:t>
      </w:r>
    </w:p>
    <w:p>
      <w:pPr>
        <w:pStyle w:val="Heading2"/>
      </w:pPr>
      <w:r>
        <w:rPr>
          <w:color w:val="1F3864"/>
          <w:sz w:val="26"/>
        </w:rPr>
        <w:t>1.1 Purpose</w:t>
      </w:r>
    </w:p>
    <w:p>
      <w:r>
        <w:t>The purpose of this iFlow is to facilitate the integration of data between two cloud applications, ensuring seamless communication and data consistency across systems.</w:t>
      </w:r>
    </w:p>
    <w:p>
      <w:pPr>
        <w:pStyle w:val="Heading2"/>
      </w:pPr>
      <w:r>
        <w:rPr>
          <w:color w:val="1F3864"/>
          <w:sz w:val="26"/>
        </w:rPr>
        <w:t>1.2 Scope</w:t>
      </w:r>
    </w:p>
    <w:p>
      <w:r>
        <w:t>This iFlow targets the synchronization of customer records from an external CRM system to an internal ERP system, focusing on the management of customer details including name, contact information, and account status.</w:t>
      </w:r>
    </w:p>
    <w:p>
      <w:pPr>
        <w:pStyle w:val="Heading1"/>
      </w:pPr>
      <w:r>
        <w:rPr>
          <w:color w:val="1F3864"/>
          <w:sz w:val="32"/>
        </w:rPr>
        <w:t>2. Integration Overview</w:t>
      </w:r>
    </w:p>
    <w:p>
      <w:pPr>
        <w:pStyle w:val="Heading2"/>
      </w:pPr>
      <w:r>
        <w:rPr>
          <w:color w:val="1F3864"/>
          <w:sz w:val="26"/>
        </w:rPr>
        <w:t>2.1 Integration Architecture</w:t>
      </w:r>
    </w:p>
    <w:p>
      <w:pPr>
        <w:jc w:val="center"/>
      </w:pPr>
      <w:r>
        <w:drawing>
          <wp:inline xmlns:a="http://schemas.openxmlformats.org/drawingml/2006/main" xmlns:pic="http://schemas.openxmlformats.org/drawingml/2006/picture">
            <wp:extent cx="5029200" cy="9644231"/>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029200" cy="9644231"/>
                    </a:xfrm>
                    <a:prstGeom prst="rect"/>
                  </pic:spPr>
                </pic:pic>
              </a:graphicData>
            </a:graphic>
          </wp:inline>
        </w:drawing>
      </w:r>
    </w:p>
    <w:p>
      <w:pPr>
        <w:pStyle w:val="Heading2"/>
      </w:pPr>
      <w:r>
        <w:rPr>
          <w:color w:val="1F3864"/>
          <w:sz w:val="26"/>
        </w:rPr>
        <w:t>2.2 Integration Components</w:t>
      </w:r>
    </w:p>
    <w:tbl>
      <w:tblPr>
        <w:tblStyle w:val="TableGrid"/>
        <w:tblW w:type="auto" w:w="0"/>
        <w:tblLook w:firstColumn="1" w:firstRow="1" w:lastColumn="0" w:lastRow="0" w:noHBand="0" w:noVBand="1" w:val="04A0"/>
      </w:tblPr>
      <w:tblGrid>
        <w:gridCol w:w="4320"/>
        <w:gridCol w:w="4320"/>
      </w:tblGrid>
      <w:tr>
        <w:tc>
          <w:tcPr>
            <w:tcW w:type="dxa" w:w="4320"/>
          </w:tcPr>
          <w:p>
            <w:r>
              <w:t>Component</w:t>
            </w:r>
          </w:p>
        </w:tc>
        <w:tc>
          <w:tcPr>
            <w:tcW w:type="dxa" w:w="4320"/>
          </w:tcPr>
          <w:p>
            <w:r>
              <w:t>Value</w:t>
            </w:r>
          </w:p>
        </w:tc>
      </w:tr>
      <w:tr>
        <w:tc>
          <w:tcPr>
            <w:tcW w:type="dxa" w:w="4320"/>
          </w:tcPr>
          <w:p>
            <w:r>
              <w:t>source_system</w:t>
            </w:r>
          </w:p>
        </w:tc>
        <w:tc>
          <w:tcPr>
            <w:tcW w:type="dxa" w:w="4320"/>
          </w:tcPr>
          <w:p>
            <w:r>
              <w:t>External CRM system</w:t>
            </w:r>
          </w:p>
        </w:tc>
      </w:tr>
      <w:tr>
        <w:tc>
          <w:tcPr>
            <w:tcW w:type="dxa" w:w="4320"/>
          </w:tcPr>
          <w:p>
            <w:r>
              <w:t>target_system</w:t>
            </w:r>
          </w:p>
        </w:tc>
        <w:tc>
          <w:tcPr>
            <w:tcW w:type="dxa" w:w="4320"/>
          </w:tcPr>
          <w:p>
            <w:r>
              <w:t>Internal ERP system</w:t>
            </w:r>
          </w:p>
        </w:tc>
      </w:tr>
      <w:tr>
        <w:tc>
          <w:tcPr>
            <w:tcW w:type="dxa" w:w="4320"/>
          </w:tcPr>
          <w:p>
            <w:r>
              <w:t>adapters</w:t>
            </w:r>
          </w:p>
        </w:tc>
        <w:tc>
          <w:tcPr>
            <w:tcW w:type="dxa" w:w="4320"/>
          </w:tcPr>
          <w:p>
            <w:r>
              <w:t>['HTTP adapter for inbound requests', 'SOAP adapter for outbound requests']</w:t>
            </w:r>
          </w:p>
        </w:tc>
      </w:tr>
      <w:tr>
        <w:tc>
          <w:tcPr>
            <w:tcW w:type="dxa" w:w="4320"/>
          </w:tcPr>
          <w:p>
            <w:r>
              <w:t>message_mapping</w:t>
            </w:r>
          </w:p>
        </w:tc>
        <w:tc>
          <w:tcPr>
            <w:tcW w:type="dxa" w:w="4320"/>
          </w:tcPr>
          <w:p>
            <w:r>
              <w:t>Mapping customer data fields</w:t>
            </w:r>
          </w:p>
        </w:tc>
      </w:tr>
    </w:tbl>
    <w:p>
      <w:pPr>
        <w:pStyle w:val="Heading1"/>
      </w:pPr>
      <w:r>
        <w:rPr>
          <w:color w:val="1F3864"/>
          <w:sz w:val="32"/>
        </w:rPr>
        <w:t>3. Integration Scenarios</w:t>
      </w:r>
    </w:p>
    <w:p>
      <w:pPr>
        <w:pStyle w:val="Heading2"/>
      </w:pPr>
      <w:r>
        <w:rPr>
          <w:color w:val="1F3864"/>
          <w:sz w:val="26"/>
        </w:rPr>
        <w:t>3.1 Scenario Description</w:t>
      </w:r>
    </w:p>
    <w:p>
      <w:r>
        <w:t>When a new customer record is created in the CRM system, this iFlow is triggered, transforming the data and sending it to the ERP system for processing. In case of any transformation errors, the system logs the error and sends an alert.</w:t>
      </w:r>
    </w:p>
    <w:p>
      <w:pPr>
        <w:pStyle w:val="Heading2"/>
      </w:pPr>
      <w:r>
        <w:rPr>
          <w:color w:val="1F3864"/>
          <w:sz w:val="26"/>
        </w:rPr>
        <w:t>3.2 Data Flows</w:t>
      </w:r>
    </w:p>
    <w:tbl>
      <w:tblPr>
        <w:tblStyle w:val="TableGrid"/>
        <w:tblW w:type="auto" w:w="0"/>
        <w:tblLook w:firstColumn="1" w:firstRow="1" w:lastColumn="0" w:lastRow="0" w:noHBand="0" w:noVBand="1" w:val="04A0"/>
      </w:tblPr>
      <w:tblGrid>
        <w:gridCol w:w="2880"/>
        <w:gridCol w:w="2880"/>
        <w:gridCol w:w="2880"/>
      </w:tblGrid>
      <w:tr>
        <w:tc>
          <w:tcPr>
            <w:tcW w:type="dxa" w:w="2880"/>
          </w:tcPr>
          <w:p>
            <w:r>
              <w:t>Source Field</w:t>
            </w:r>
          </w:p>
        </w:tc>
        <w:tc>
          <w:tcPr>
            <w:tcW w:type="dxa" w:w="2880"/>
          </w:tcPr>
          <w:p>
            <w:r>
              <w:t>Target Field</w:t>
            </w:r>
          </w:p>
        </w:tc>
        <w:tc>
          <w:tcPr>
            <w:tcW w:type="dxa" w:w="2880"/>
          </w:tcPr>
          <w:p>
            <w:r>
              <w:t>Logic</w:t>
            </w:r>
          </w:p>
        </w:tc>
      </w:tr>
      <w:tr>
        <w:tc>
          <w:tcPr>
            <w:tcW w:type="dxa" w:w="2880"/>
          </w:tcPr>
          <w:p>
            <w:r>
              <w:t>CRM.CustomerID</w:t>
            </w:r>
          </w:p>
        </w:tc>
        <w:tc>
          <w:tcPr>
            <w:tcW w:type="dxa" w:w="2880"/>
          </w:tcPr>
          <w:p>
            <w:r>
              <w:t>ERP.CustomerID</w:t>
            </w:r>
          </w:p>
        </w:tc>
        <w:tc>
          <w:tcPr>
            <w:tcW w:type="dxa" w:w="2880"/>
          </w:tcPr>
          <w:p>
            <w:r>
              <w:t>Direct mapping</w:t>
            </w:r>
          </w:p>
        </w:tc>
      </w:tr>
      <w:tr>
        <w:tc>
          <w:tcPr>
            <w:tcW w:type="dxa" w:w="2880"/>
          </w:tcPr>
          <w:p>
            <w:r>
              <w:t>CRM.Name</w:t>
            </w:r>
          </w:p>
        </w:tc>
        <w:tc>
          <w:tcPr>
            <w:tcW w:type="dxa" w:w="2880"/>
          </w:tcPr>
          <w:p>
            <w:r>
              <w:t>ERP.FullName</w:t>
            </w:r>
          </w:p>
        </w:tc>
        <w:tc>
          <w:tcPr>
            <w:tcW w:type="dxa" w:w="2880"/>
          </w:tcPr>
          <w:p>
            <w:r>
              <w:t>Direct mapping, with format adjustment</w:t>
            </w:r>
          </w:p>
        </w:tc>
      </w:tr>
      <w:tr>
        <w:tc>
          <w:tcPr>
            <w:tcW w:type="dxa" w:w="2880"/>
          </w:tcPr>
          <w:p>
            <w:r>
              <w:t>CRM.ContactNumber</w:t>
            </w:r>
          </w:p>
        </w:tc>
        <w:tc>
          <w:tcPr>
            <w:tcW w:type="dxa" w:w="2880"/>
          </w:tcPr>
          <w:p>
            <w:r>
              <w:t>ERP.Phone</w:t>
            </w:r>
          </w:p>
        </w:tc>
        <w:tc>
          <w:tcPr>
            <w:tcW w:type="dxa" w:w="2880"/>
          </w:tcPr>
          <w:p>
            <w:r>
              <w:t>Direct mapping</w:t>
            </w:r>
          </w:p>
        </w:tc>
      </w:tr>
      <w:tr>
        <w:tc>
          <w:tcPr>
            <w:tcW w:type="dxa" w:w="2880"/>
          </w:tcPr>
          <w:p>
            <w:r>
              <w:t>CRM.Status</w:t>
            </w:r>
          </w:p>
        </w:tc>
        <w:tc>
          <w:tcPr>
            <w:tcW w:type="dxa" w:w="2880"/>
          </w:tcPr>
          <w:p>
            <w:r>
              <w:t>ERP.CustomerStatus</w:t>
            </w:r>
          </w:p>
        </w:tc>
        <w:tc>
          <w:tcPr>
            <w:tcW w:type="dxa" w:w="2880"/>
          </w:tcPr>
          <w:p>
            <w:r>
              <w:t>Direct mapping, with value transformation (Active/Inactive)</w:t>
            </w:r>
          </w:p>
        </w:tc>
      </w:tr>
    </w:tbl>
    <w:p>
      <w:pPr>
        <w:pStyle w:val="Heading2"/>
      </w:pPr>
      <w:r>
        <w:rPr>
          <w:color w:val="1F3864"/>
          <w:sz w:val="26"/>
        </w:rPr>
        <w:t>3.3 Security Requirements</w:t>
      </w:r>
    </w:p>
    <w:p>
      <w:r>
        <w:t>{</w:t>
        <w:br/>
        <w:t xml:space="preserve">  "authentication": "OAuth2.0 for CRM access",</w:t>
        <w:br/>
        <w:t xml:space="preserve">  "encryption": "TLS for data in transit"</w:t>
        <w:br/>
        <w:t>}</w:t>
      </w:r>
    </w:p>
    <w:p>
      <w:pPr>
        <w:pStyle w:val="Heading1"/>
      </w:pPr>
      <w:r>
        <w:rPr>
          <w:color w:val="1F3864"/>
          <w:sz w:val="32"/>
        </w:rPr>
        <w:t>4. Error Handling and Logging</w:t>
      </w:r>
    </w:p>
    <w:p>
      <w:r>
        <w:t>Any errors during data transformation or transfer will trigger an alert notification to the integration team, while also logging the error details in the system log for further analysis.</w:t>
      </w:r>
    </w:p>
    <w:p>
      <w:pPr>
        <w:pStyle w:val="Heading1"/>
      </w:pPr>
      <w:r>
        <w:rPr>
          <w:color w:val="1F3864"/>
          <w:sz w:val="32"/>
        </w:rPr>
        <w:t>5. Testing Validation</w:t>
      </w:r>
    </w:p>
    <w:p>
      <w:r>
        <w:t>{</w:t>
        <w:br/>
        <w:t xml:space="preserve">  "unit_tests": "Unit tests for individual mapping transformations.",</w:t>
        <w:br/>
        <w:t xml:space="preserve">  "integration_tests": "End-to-end scenario tests to validate data flow and integrity.",</w:t>
        <w:br/>
        <w:t xml:space="preserve">  "load_tests": "Simulations for high-volume data transfer scenarios."</w:t>
        <w:br/>
        <w:t>}</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685800" cy="6858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685800" cy="685800"/>
                        </a:xfrm>
                        <a:prstGeom prst="rect"/>
                      </pic:spPr>
                    </pic:pic>
                  </a:graphicData>
                </a:graphic>
              </wp:inline>
            </w:drawing>
          </w:r>
        </w:p>
      </w:tc>
      <w:tc>
        <w:tcPr>
          <w:tcW w:type="dxa" w:w="4680"/>
        </w:tcPr>
        <w:p>
          <w:pPr>
            <w:jc w:val="right"/>
          </w:pPr>
          <w:r>
            <w:drawing>
              <wp:inline xmlns:a="http://schemas.openxmlformats.org/drawingml/2006/main" xmlns:pic="http://schemas.openxmlformats.org/drawingml/2006/picture">
                <wp:extent cx="685800" cy="685800"/>
                <wp:docPr id="2" name="Picture 2"/>
                <wp:cNvGraphicFramePr>
                  <a:graphicFrameLocks noChangeAspect="1"/>
                </wp:cNvGraphicFramePr>
                <a:graphic>
                  <a:graphicData uri="http://schemas.openxmlformats.org/drawingml/2006/picture">
                    <pic:pic>
                      <pic:nvPicPr>
                        <pic:cNvPr id="0" name="mm.png"/>
                        <pic:cNvPicPr/>
                      </pic:nvPicPr>
                      <pic:blipFill>
                        <a:blip r:embed="rId2"/>
                        <a:stretch>
                          <a:fillRect/>
                        </a:stretch>
                      </pic:blipFill>
                      <pic:spPr>
                        <a:xfrm>
                          <a:off x="0" y="0"/>
                          <a:ext cx="685800" cy="6858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