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56"/>
        </w:rPr>
        <w:t>iflow1</w:t>
      </w:r>
    </w:p>
    <w:p>
      <w:pPr>
        <w:jc w:val="center"/>
      </w:pPr>
      <w:r>
        <w:t>Technical Specification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Akila710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pPr>
        <w:ind w:left="432"/>
      </w:pPr>
      <w:r>
        <w:t xml:space="preserve">  1.1 Purpose</w:t>
      </w:r>
    </w:p>
    <w:p>
      <w:pPr>
        <w:ind w:left="432"/>
      </w:pPr>
      <w:r>
        <w:t xml:space="preserve">  1.2 Scope</w:t>
      </w:r>
    </w:p>
    <w:p>
      <w:r>
        <w:t>2. Integration Overview</w:t>
      </w:r>
    </w:p>
    <w:p>
      <w:pPr>
        <w:ind w:left="432"/>
      </w:pPr>
      <w:r>
        <w:t xml:space="preserve">  2.1 Integration Architecture</w:t>
      </w:r>
    </w:p>
    <w:p>
      <w:pPr>
        <w:ind w:left="432"/>
      </w:pPr>
      <w:r>
        <w:t xml:space="preserve">  2.2 Integration Components</w:t>
      </w:r>
    </w:p>
    <w:p>
      <w:r>
        <w:t>3. Integration Scenarios</w:t>
      </w:r>
    </w:p>
    <w:p>
      <w:pPr>
        <w:ind w:left="432"/>
      </w:pPr>
      <w:r>
        <w:t xml:space="preserve">  3.1 Scenario Description</w:t>
      </w:r>
    </w:p>
    <w:p>
      <w:pPr>
        <w:ind w:left="432"/>
      </w:pPr>
      <w:r>
        <w:t xml:space="preserve">  3.2 Data Flows</w:t>
      </w:r>
    </w:p>
    <w:p>
      <w:pPr>
        <w:ind w:left="432"/>
      </w:pPr>
      <w:r>
        <w:t xml:space="preserve">  3.3 Security Requirements</w:t>
      </w:r>
    </w:p>
    <w:p>
      <w:r>
        <w:t>4. Error Handling</w:t>
      </w:r>
    </w:p>
    <w:p>
      <w:r>
        <w:t>5. Testing Validation</w:t>
      </w:r>
    </w:p>
    <w:p>
      <w:r>
        <w:br w:type="page"/>
      </w:r>
    </w:p>
    <w:p>
      <w:pPr>
        <w:pStyle w:val="Heading1"/>
      </w:pPr>
      <w:r>
        <w:rPr>
          <w:color w:val="1F3864"/>
          <w:sz w:val="32"/>
        </w:rPr>
        <w:t>1. Introduction</w:t>
      </w:r>
    </w:p>
    <w:p>
      <w:pPr>
        <w:pStyle w:val="Heading2"/>
      </w:pPr>
      <w:r>
        <w:rPr>
          <w:color w:val="1F3864"/>
          <w:sz w:val="26"/>
        </w:rPr>
        <w:t>1.1 Purpose</w:t>
      </w:r>
    </w:p>
    <w:p/>
    <w:p>
      <w:pPr>
        <w:pStyle w:val="Heading2"/>
      </w:pPr>
      <w:r>
        <w:rPr>
          <w:color w:val="1F3864"/>
          <w:sz w:val="26"/>
        </w:rPr>
        <w:t>1.2 Scope</w:t>
      </w:r>
    </w:p>
    <w:p/>
    <w:p>
      <w:pPr>
        <w:pStyle w:val="Heading1"/>
      </w:pPr>
      <w:r>
        <w:rPr>
          <w:color w:val="1F3864"/>
          <w:sz w:val="32"/>
        </w:rPr>
        <w:t>2. Integration Overview</w:t>
      </w:r>
    </w:p>
    <w:p>
      <w:pPr>
        <w:pStyle w:val="Heading2"/>
      </w:pPr>
      <w:r>
        <w:rPr>
          <w:color w:val="1F3864"/>
          <w:sz w:val="26"/>
        </w:rPr>
        <w:t>2.1 Integration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512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12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3864"/>
          <w:sz w:val="26"/>
        </w:rPr>
        <w:t>2.2 Integration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Sender</w:t>
            </w:r>
          </w:p>
        </w:tc>
        <w:tc>
          <w:tcPr>
            <w:tcW w:type="dxa" w:w="4320"/>
          </w:tcPr>
          <w:p>
            <w:r>
              <w:t>{'type': 'HTTP', 'details': {'url': 'https://example.com/sender-endpoint', 'auth': 'Basic Auth'}}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Sender Adapter</w:t>
            </w:r>
          </w:p>
        </w:tc>
        <w:tc>
          <w:tcPr>
            <w:tcW w:type="dxa" w:w="4320"/>
          </w:tcPr>
          <w:p>
            <w:r>
              <w:t>{'type': 'HTTP', 'details': {'auth': 'Basic Auth'}}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</w:t>
            </w:r>
          </w:p>
        </w:tc>
        <w:tc>
          <w:tcPr>
            <w:tcW w:type="dxa" w:w="4320"/>
          </w:tcPr>
          <w:p>
            <w:r>
              <w:t>{'type': 'SAP S/4HANA', 'details': {'url': 'https://example.com/receiver-endpoint', 'auth': 'OAuth'}}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 Adapter</w:t>
            </w:r>
          </w:p>
        </w:tc>
        <w:tc>
          <w:tcPr>
            <w:tcW w:type="dxa" w:w="4320"/>
          </w:tcPr>
          <w:p>
            <w:r>
              <w:t>{'type': 'SOAP', 'details': {'wsdl': 'https://example.com/receiver-service?wsdl', 'auth': 'OAuth'}}</w:t>
            </w:r>
          </w:p>
        </w:tc>
      </w:tr>
    </w:tbl>
    <w:p>
      <w:pPr>
        <w:pStyle w:val="Heading1"/>
      </w:pPr>
      <w:r>
        <w:rPr>
          <w:color w:val="1F3864"/>
          <w:sz w:val="32"/>
        </w:rPr>
        <w:t>3. Integration Scenarios</w:t>
      </w:r>
    </w:p>
    <w:p>
      <w:pPr>
        <w:pStyle w:val="Heading2"/>
      </w:pPr>
      <w:r>
        <w:rPr>
          <w:color w:val="1F3864"/>
          <w:sz w:val="26"/>
        </w:rPr>
        <w:t>3.1 Scenario Description</w:t>
      </w:r>
    </w:p>
    <w:p/>
    <w:p>
      <w:pPr>
        <w:pStyle w:val="Heading2"/>
      </w:pPr>
      <w:r>
        <w:rPr>
          <w:color w:val="1F3864"/>
          <w:sz w:val="26"/>
        </w:rPr>
        <w:t>3.2 Data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Source Field</w:t>
            </w:r>
          </w:p>
        </w:tc>
        <w:tc>
          <w:tcPr>
            <w:tcW w:type="dxa" w:w="2880"/>
          </w:tcPr>
          <w:p>
            <w:r>
              <w:t>Target Field</w:t>
            </w:r>
          </w:p>
        </w:tc>
        <w:tc>
          <w:tcPr>
            <w:tcW w:type="dxa" w:w="2880"/>
          </w:tcPr>
          <w:p>
            <w:r>
              <w:t>Logic</w:t>
            </w:r>
          </w:p>
        </w:tc>
      </w:tr>
      <w:tr>
        <w:tc>
          <w:tcPr>
            <w:tcW w:type="dxa" w:w="2880"/>
          </w:tcPr>
          <w:p>
            <w:r>
              <w:t>SenderPayload.ItemID</w:t>
            </w:r>
          </w:p>
        </w:tc>
        <w:tc>
          <w:tcPr>
            <w:tcW w:type="dxa" w:w="2880"/>
          </w:tcPr>
          <w:p>
            <w:r>
              <w:t>ReceiverPayload.ProductID</w:t>
            </w:r>
          </w:p>
        </w:tc>
        <w:tc>
          <w:tcPr>
            <w:tcW w:type="dxa" w:w="2880"/>
          </w:tcPr>
          <w:p>
            <w:r>
              <w:t>Transform ItemID to ProductID</w:t>
            </w:r>
          </w:p>
        </w:tc>
      </w:tr>
      <w:tr>
        <w:tc>
          <w:tcPr>
            <w:tcW w:type="dxa" w:w="2880"/>
          </w:tcPr>
          <w:p>
            <w:r>
              <w:t>SenderPayload.Quantity</w:t>
            </w:r>
          </w:p>
        </w:tc>
        <w:tc>
          <w:tcPr>
            <w:tcW w:type="dxa" w:w="2880"/>
          </w:tcPr>
          <w:p>
            <w:r>
              <w:t>ReceiverPayload.Amount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</w:tr>
      <w:tr>
        <w:tc>
          <w:tcPr>
            <w:tcW w:type="dxa" w:w="2880"/>
          </w:tcPr>
          <w:p>
            <w:r>
              <w:t>SenderPayload.CustomerName</w:t>
            </w:r>
          </w:p>
        </w:tc>
        <w:tc>
          <w:tcPr>
            <w:tcW w:type="dxa" w:w="2880"/>
          </w:tcPr>
          <w:p>
            <w:r>
              <w:t>ReceiverPayload.BuyerName</w:t>
            </w:r>
          </w:p>
        </w:tc>
        <w:tc>
          <w:tcPr>
            <w:tcW w:type="dxa" w:w="2880"/>
          </w:tcPr>
          <w:p>
            <w:r>
              <w:t>Rename field</w:t>
            </w:r>
          </w:p>
        </w:tc>
      </w:tr>
    </w:tbl>
    <w:p>
      <w:pPr>
        <w:pStyle w:val="Heading2"/>
      </w:pPr>
      <w:r>
        <w:rPr>
          <w:color w:val="1F3864"/>
          <w:sz w:val="26"/>
        </w:rPr>
        <w:t>3.3 Security Requirements</w:t>
      </w:r>
    </w:p>
    <w:p/>
    <w:p>
      <w:pPr>
        <w:pStyle w:val="Heading1"/>
      </w:pPr>
      <w:r>
        <w:rPr>
          <w:color w:val="1F3864"/>
          <w:sz w:val="32"/>
        </w:rPr>
        <w:t>4. Error Handling</w:t>
      </w:r>
    </w:p>
    <w:p/>
    <w:p>
      <w:pPr>
        <w:pStyle w:val="Heading1"/>
      </w:pPr>
      <w:r>
        <w:rPr>
          <w:color w:val="1F3864"/>
          <w:sz w:val="32"/>
        </w:rPr>
        <w:t>5. Testing Validation</w:t>
      </w:r>
    </w:p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