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igh-level-architecture"/>
    <w:p>
      <w:pPr>
        <w:pStyle w:val="Heading2"/>
      </w:pPr>
      <w:r>
        <w:t xml:space="preserve">1. High-level architecture</w:t>
      </w:r>
    </w:p>
    <w:p>
      <w:pPr>
        <w:pStyle w:val="FirstParagraph"/>
      </w:pPr>
      <w:r>
        <w:t xml:space="preserve">The iFlow</w:t>
      </w:r>
      <w:r>
        <w:t xml:space="preserve"> </w:t>
      </w:r>
      <w:r>
        <w:t xml:space="preserve">‘</w:t>
      </w:r>
      <w:r>
        <w:t xml:space="preserve">Odata_Mass_PDF_upload</w:t>
      </w:r>
      <w:r>
        <w:t xml:space="preserve">’</w:t>
      </w:r>
      <w:r>
        <w:t xml:space="preserve"> </w:t>
      </w:r>
      <w:r>
        <w:t xml:space="preserve">is designed to facilitate the mass upload of PDF files using OData protocol. The architecture involves a sender system, an integration process, and a receiver system.</w:t>
      </w:r>
    </w:p>
    <w:bookmarkEnd w:id="20"/>
    <w:bookmarkStart w:id="21" w:name="purpose-of-this-iflow"/>
    <w:p>
      <w:pPr>
        <w:pStyle w:val="Heading2"/>
      </w:pPr>
      <w:r>
        <w:t xml:space="preserve">2. Purpose of this iFlow</w:t>
      </w:r>
    </w:p>
    <w:p>
      <w:pPr>
        <w:pStyle w:val="FirstParagraph"/>
      </w:pPr>
      <w:r>
        <w:t xml:space="preserve">The primary purpose of this iFlow is to enable the efficient and secure upload of multiple PDF files from a sender system to a receiver system, leveraging the capabilities of SAP Cloud Platform Integration (CPI).</w:t>
      </w:r>
    </w:p>
    <w:bookmarkEnd w:id="21"/>
    <w:bookmarkStart w:id="22" w:name="senderreceiver-systems"/>
    <w:p>
      <w:pPr>
        <w:pStyle w:val="Heading2"/>
      </w:pPr>
      <w:r>
        <w:t xml:space="preserve">3. Sender/Receiver systems</w:t>
      </w:r>
    </w:p>
    <w:p>
      <w:pPr>
        <w:pStyle w:val="FirstParagraph"/>
      </w:pPr>
      <w:r>
        <w:t xml:space="preserve">The sender system is the source of the PDF files to be uploaded, while the receiver system is the destination where these files will be stored or processed. The specific details of these systems, such as their types or configurations, are not provided in the given iFlow definition.</w:t>
      </w:r>
    </w:p>
    <w:bookmarkEnd w:id="22"/>
    <w:bookmarkStart w:id="23" w:name="adapter-types-used"/>
    <w:p>
      <w:pPr>
        <w:pStyle w:val="Heading2"/>
      </w:pPr>
      <w:r>
        <w:t xml:space="preserve">4. Adapter types used</w:t>
      </w:r>
    </w:p>
    <w:p>
      <w:pPr>
        <w:pStyle w:val="FirstParagraph"/>
      </w:pPr>
      <w:r>
        <w:t xml:space="preserve">The adapter types used in this iFlow are not explicitly mentioned in the provided XML definition. However, given the context of OData and PDF upload, it is likely that HTTP or OData adapters are utilized for communication between the sender, CPI, and the receiver.</w:t>
      </w:r>
    </w:p>
    <w:bookmarkEnd w:id="23"/>
    <w:bookmarkStart w:id="24" w:name="step-by-step-flow-explanation"/>
    <w:p>
      <w:pPr>
        <w:pStyle w:val="Heading2"/>
      </w:pPr>
      <w:r>
        <w:t xml:space="preserve">5. Step-by-step flow explanation</w:t>
      </w:r>
    </w:p>
    <w:p>
      <w:pPr>
        <w:numPr>
          <w:ilvl w:val="0"/>
          <w:numId w:val="1001"/>
        </w:numPr>
        <w:pStyle w:val="Compact"/>
      </w:pPr>
      <w:r>
        <w:t xml:space="preserve">The process starts with a</w:t>
      </w:r>
      <w:r>
        <w:t xml:space="preserve"> </w:t>
      </w:r>
      <w:r>
        <w:rPr>
          <w:rStyle w:val="VerbatimChar"/>
        </w:rPr>
        <w:t xml:space="preserve">StartEvent_2</w:t>
      </w:r>
      <w:r>
        <w:t xml:space="preserve">, indicating the beginning of the integration flow.</w:t>
      </w:r>
    </w:p>
    <w:p>
      <w:pPr>
        <w:numPr>
          <w:ilvl w:val="0"/>
          <w:numId w:val="1001"/>
        </w:numPr>
        <w:pStyle w:val="Compact"/>
      </w:pPr>
      <w:r>
        <w:t xml:space="preserve">The flow then proceeds to an</w:t>
      </w:r>
      <w:r>
        <w:t xml:space="preserve"> </w:t>
      </w:r>
      <w:r>
        <w:rPr>
          <w:rStyle w:val="VerbatimChar"/>
        </w:rPr>
        <w:t xml:space="preserve">EndEvent_2</w:t>
      </w:r>
      <w:r>
        <w:t xml:space="preserve">, marking the end of the integration process.</w:t>
      </w:r>
    </w:p>
    <w:p>
      <w:pPr>
        <w:numPr>
          <w:ilvl w:val="0"/>
          <w:numId w:val="1001"/>
        </w:numPr>
        <w:pStyle w:val="Compact"/>
      </w:pPr>
      <w:r>
        <w:t xml:space="preserve">The sequence flow</w:t>
      </w:r>
      <w:r>
        <w:t xml:space="preserve"> </w:t>
      </w:r>
      <w:r>
        <w:rPr>
          <w:rStyle w:val="VerbatimChar"/>
        </w:rPr>
        <w:t xml:space="preserve">SequenceFlow_3</w:t>
      </w:r>
      <w:r>
        <w:t xml:space="preserve"> </w:t>
      </w:r>
      <w:r>
        <w:t xml:space="preserve">connects the start and end events, defining the order of operations within the iFlow.</w:t>
      </w:r>
    </w:p>
    <w:bookmarkEnd w:id="24"/>
    <w:bookmarkStart w:id="25" w:name="Xf9382fbd4de0a9f5040bca6752e5221fe2267a0"/>
    <w:p>
      <w:pPr>
        <w:pStyle w:val="Heading2"/>
      </w:pPr>
      <w:r>
        <w:t xml:space="preserve">6. Mapping logic summary (XML, JSON, XSLT, Graphical Mapping)</w:t>
      </w:r>
    </w:p>
    <w:p>
      <w:pPr>
        <w:pStyle w:val="FirstParagraph"/>
      </w:pPr>
      <w:r>
        <w:t xml:space="preserve">The provided XML does not contain explicit mapping logic. However, in a typical OData-based integration scenario, mappings might involve transforming data between the sender’s format and the receiver’s expected format, potentially using XSLT for XML transformations or other mapping techniques for JSON data.</w:t>
      </w:r>
    </w:p>
    <w:bookmarkEnd w:id="25"/>
    <w:bookmarkStart w:id="26" w:name="groovy-script-explanations"/>
    <w:p>
      <w:pPr>
        <w:pStyle w:val="Heading2"/>
      </w:pPr>
      <w:r>
        <w:t xml:space="preserve">7. Groovy script explanations</w:t>
      </w:r>
    </w:p>
    <w:p>
      <w:pPr>
        <w:pStyle w:val="FirstParagraph"/>
      </w:pPr>
      <w:r>
        <w:t xml:space="preserve">There are no Groovy scripts mentioned or included in the provided XML definition of the iFlow. Groovy scripts are often used in CPI for custom logic, data manipulation, or error handling, but their absence in this description suggests they are not part of this particular iFlow.</w:t>
      </w:r>
    </w:p>
    <w:bookmarkEnd w:id="26"/>
    <w:bookmarkStart w:id="27" w:name="error-handling"/>
    <w:p>
      <w:pPr>
        <w:pStyle w:val="Heading2"/>
      </w:pPr>
      <w:r>
        <w:t xml:space="preserve">8. Error handling</w:t>
      </w:r>
    </w:p>
    <w:p>
      <w:pPr>
        <w:pStyle w:val="FirstParagraph"/>
      </w:pPr>
      <w:r>
        <w:t xml:space="preserve">Error handling mechanisms are not detailed in the given XML. Typically, CPI flows can be configured to handle errors through retry mechanisms, custom error handling scripts, or by sending error messages to a monitoring system. The absence of explicit error handling details in this iFlow suggests that either default error handling mechanisms are in place or error handling is configured outside of this specific iFlow definition.</w:t>
      </w:r>
    </w:p>
    <w:bookmarkEnd w:id="27"/>
    <w:bookmarkStart w:id="28" w:name="securityauthentication"/>
    <w:p>
      <w:pPr>
        <w:pStyle w:val="Heading2"/>
      </w:pPr>
      <w:r>
        <w:t xml:space="preserve">9. Security/authentication</w:t>
      </w:r>
    </w:p>
    <w:p>
      <w:pPr>
        <w:pStyle w:val="FirstParagraph"/>
      </w:pPr>
      <w:r>
        <w:t xml:space="preserve">Security and authentication aspects are not extensively detailed in the provided XML. However, properties like</w:t>
      </w:r>
      <w:r>
        <w:t xml:space="preserve"> </w:t>
      </w:r>
      <w:r>
        <w:rPr>
          <w:rStyle w:val="VerbatimChar"/>
        </w:rPr>
        <w:t xml:space="preserve">enableBasicAuthentication</w:t>
      </w:r>
      <w:r>
        <w:t xml:space="preserve"> </w:t>
      </w:r>
      <w:r>
        <w:t xml:space="preserve">being set to</w:t>
      </w:r>
      <w:r>
        <w:t xml:space="preserve"> </w:t>
      </w:r>
      <w:r>
        <w:rPr>
          <w:rStyle w:val="VerbatimChar"/>
        </w:rPr>
        <w:t xml:space="preserve">false</w:t>
      </w:r>
      <w:r>
        <w:t xml:space="preserve"> </w:t>
      </w:r>
      <w:r>
        <w:t xml:space="preserve">for the sender participant suggest that basic authentication is not used. Other security mechanisms, such as OAuth, API keys, or SSL/TLS, might be employed but are not specified here.</w:t>
      </w:r>
    </w:p>
    <w:bookmarkEnd w:id="28"/>
    <w:bookmarkStart w:id="29" w:name="high-level-process-flow-diagram"/>
    <w:p>
      <w:pPr>
        <w:pStyle w:val="Heading2"/>
      </w:pPr>
      <w:r>
        <w:t xml:space="preserve">10. High-Level Process Flow Diagram</w:t>
      </w:r>
    </w:p>
    <w:p>
      <w:pPr>
        <w:pStyle w:val="SourceCode"/>
      </w:pPr>
      <w:r>
        <w:rPr>
          <w:rStyle w:val="VerbatimChar"/>
        </w:rPr>
        <w:t xml:space="preserve">graph TD</w:t>
      </w:r>
      <w:r>
        <w:br/>
      </w:r>
      <w:r>
        <w:rPr>
          <w:rStyle w:val="VerbatimChar"/>
        </w:rPr>
        <w:t xml:space="preserve">    Sender --&gt;|PDF Files|&gt; CPI</w:t>
      </w:r>
      <w:r>
        <w:br/>
      </w:r>
      <w:r>
        <w:rPr>
          <w:rStyle w:val="VerbatimChar"/>
        </w:rPr>
        <w:t xml:space="preserve">    CPI --&gt;|Processed PDF Files|&gt; Receiver</w:t>
      </w:r>
    </w:p>
    <w:p>
      <w:pPr>
        <w:pStyle w:val="FirstParagraph"/>
      </w:pPr>
      <w:r>
        <w:t xml:space="preserve">This diagram illustrates the high-level flow of PDF files from the sender system, through the SAP Cloud Platform Integration (CPI), to the receiver system.</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2025-12-11T11:59:27Z</dcterms:created>
  <dcterms:modified xsi:type="dcterms:W3CDTF">2025-12-11T11:59:27Z</dcterms:modified>
</cp:coreProperties>
</file>

<file path=docProps/custom.xml><?xml version="1.0" encoding="utf-8"?>
<Properties xmlns="http://schemas.openxmlformats.org/officeDocument/2006/custom-properties" xmlns:vt="http://schemas.openxmlformats.org/officeDocument/2006/docPropsVTypes"/>
</file>