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rPr>
        <w:t>iflow1</w:t>
      </w:r>
    </w:p>
    <w:tbl>
      <w:tblPr>
        <w:tblStyle w:val="TableGrid"/>
        <w:tblW w:type="auto" w:w="0"/>
        <w:tblLook w:firstColumn="1" w:firstRow="1" w:lastColumn="0" w:lastRow="0" w:noHBand="0" w:noVBand="1" w:val="04A0"/>
      </w:tblPr>
      <w:tblGrid>
        <w:gridCol w:w="4320"/>
        <w:gridCol w:w="4320"/>
      </w:tblGrid>
      <w:tr>
        <w:tc>
          <w:tcPr>
            <w:tcW w:type="dxa" w:w="4320"/>
          </w:tcPr>
          <w:p>
            <w:r>
              <w:t>Author:</w:t>
            </w:r>
          </w:p>
        </w:tc>
        <w:tc>
          <w:tcPr>
            <w:tcW w:type="dxa" w:w="4320"/>
          </w:tcPr>
          <w:p>
            <w:r/>
          </w:p>
        </w:tc>
      </w:tr>
      <w:tr>
        <w:tc>
          <w:tcPr>
            <w:tcW w:type="dxa" w:w="4320"/>
          </w:tcPr>
          <w:p>
            <w:r>
              <w:t>Date:</w:t>
            </w:r>
          </w:p>
        </w:tc>
        <w:tc>
          <w:tcPr>
            <w:tcW w:type="dxa" w:w="4320"/>
          </w:tcPr>
          <w:p>
            <w:r>
              <w:t>2025-12-23</w:t>
            </w:r>
          </w:p>
        </w:tc>
      </w:tr>
      <w:tr>
        <w:tc>
          <w:tcPr>
            <w:tcW w:type="dxa" w:w="4320"/>
          </w:tcPr>
          <w:p>
            <w:r>
              <w:t>Version:</w:t>
            </w:r>
          </w:p>
        </w:tc>
        <w:tc>
          <w:tcPr>
            <w:tcW w:type="dxa" w:w="4320"/>
          </w:tcPr>
          <w:p>
            <w:r>
              <w:t>Draft</w:t>
            </w:r>
          </w:p>
        </w:tc>
      </w:tr>
    </w:tbl>
    <w:p>
      <w:r>
        <w:br w:type="page"/>
      </w:r>
    </w:p>
    <w:p>
      <w:pPr>
        <w:pStyle w:val="Heading1"/>
      </w:pPr>
      <w:r>
        <w:t>Table of Contents</w:t>
      </w:r>
    </w:p>
    <w:p>
      <w:r>
        <w:t>1. Introduction</w:t>
      </w:r>
    </w:p>
    <w:p>
      <w:r>
        <w:t>1.1 Purpose</w:t>
      </w:r>
    </w:p>
    <w:p>
      <w:r>
        <w:t>1.2 Scope</w:t>
      </w:r>
    </w:p>
    <w:p>
      <w:r>
        <w:t>2. Integration Overview</w:t>
      </w:r>
    </w:p>
    <w:p>
      <w:r>
        <w:t>2.1 Integration Architecture</w:t>
      </w:r>
    </w:p>
    <w:p>
      <w:r>
        <w:t>2.2 Integration Components</w:t>
      </w:r>
    </w:p>
    <w:p>
      <w:r>
        <w:t>3. Integration Scenarios</w:t>
      </w:r>
    </w:p>
    <w:p>
      <w:r>
        <w:t>3.1 Scenario Description</w:t>
      </w:r>
    </w:p>
    <w:p>
      <w:r>
        <w:t>3.2 Data Flows</w:t>
      </w:r>
    </w:p>
    <w:p>
      <w:r>
        <w:t>3.3 Security Requirements</w:t>
      </w:r>
    </w:p>
    <w:p>
      <w:r>
        <w:t>4. Error Handling and Logging</w:t>
      </w:r>
    </w:p>
    <w:p>
      <w:r>
        <w:t>5. Testing Validation</w:t>
      </w:r>
    </w:p>
    <w:p>
      <w:r>
        <w:t>6. Reference Documents</w:t>
      </w:r>
    </w:p>
    <w:p>
      <w:r>
        <w:br w:type="page"/>
      </w:r>
    </w:p>
    <w:p>
      <w:r>
        <w:t>**SAP CPI iFlow Documentation: iflow1**</w:t>
      </w:r>
    </w:p>
    <w:p/>
    <w:p>
      <w:r>
        <w:t>## 1. Introduction</w:t>
      </w:r>
    </w:p>
    <w:p>
      <w:r>
        <w:t>### 1.1 Purpose</w:t>
      </w:r>
    </w:p>
    <w:p>
      <w:r>
        <w:t>The purpose of this document is to provide a comprehensive overview of the SAP CPI iFlow, iflow1, including its integration architecture, components, scenarios, and testing procedures.</w:t>
      </w:r>
    </w:p>
    <w:p/>
    <w:p>
      <w:r>
        <w:t>### 1.2 Scope</w:t>
      </w:r>
    </w:p>
    <w:p>
      <w:r>
        <w:t>The scope of this document covers the design, implementation, and testing of iflow1, which is a SAP Cloud Platform Integration (CPI) integration flow. This document is intended for technical stakeholders, including developers, testers, and operations teams.</w:t>
      </w:r>
    </w:p>
    <w:p/>
    <w:p>
      <w:r>
        <w:t>## 2. Integration Overview</w:t>
      </w:r>
    </w:p>
    <w:p>
      <w:r>
        <w:t>### 2.1 Integration Architecture</w:t>
      </w:r>
    </w:p>
    <w:p>
      <w:r>
        <w:t>The iflow1 integration architecture consists of a sender system, a SAP CPI tenant, and a receiver system. The sender system sends requests to the SAP CPI tenant, which processes the requests and sends the responses to the receiver system. The integration flow uses various adapters, such as HTTP and SOAP, to communicate with the sender and receiver systems.</w:t>
      </w:r>
    </w:p>
    <w:p/>
    <w:p>
      <w:r>
        <w:t>### 2.2 Integration Components</w:t>
      </w:r>
    </w:p>
    <w:p>
      <w:r>
        <w:t>The iflow1 integration components include:</w:t>
      </w:r>
    </w:p>
    <w:p>
      <w:r>
        <w:t>- Sender system: [insert sender system name]</w:t>
      </w:r>
    </w:p>
    <w:p>
      <w:r>
        <w:t>- SAP CPI tenant: [insert CPI tenant name]</w:t>
      </w:r>
    </w:p>
    <w:p>
      <w:r>
        <w:t>- Receiver system: [insert receiver system name]</w:t>
      </w:r>
    </w:p>
    <w:p>
      <w:r>
        <w:t>- Adapters: HTTP, SOAP</w:t>
      </w:r>
    </w:p>
    <w:p>
      <w:r>
        <w:t>- Mapping: XML to JSON</w:t>
      </w:r>
    </w:p>
    <w:p/>
    <w:p>
      <w:r>
        <w:t>## 3. Integration Scenarios</w:t>
      </w:r>
    </w:p>
    <w:p>
      <w:r>
        <w:t>### 3.1 Scenario Description</w:t>
      </w:r>
    </w:p>
    <w:p>
      <w:r>
        <w:t>The iflow1 integration scenario involves the sender system sending a request to the SAP CPI tenant to retrieve data from the receiver system. The SAP CPI tenant processes the request, maps the data, and sends the response back to the sender system.</w:t>
      </w:r>
    </w:p>
    <w:p/>
    <w:p>
      <w:r>
        <w:t>### 3.2 Data Flows</w:t>
      </w:r>
    </w:p>
    <w:p>
      <w:r>
        <w:t>The data flows for iflow1 are as follows:</w:t>
      </w:r>
    </w:p>
    <w:p>
      <w:r>
        <w:t>- Sender system -&gt; SAP CPI tenant (request)</w:t>
      </w:r>
    </w:p>
    <w:p>
      <w:r>
        <w:t>- SAP CPI tenant -&gt; Receiver system (request)</w:t>
      </w:r>
    </w:p>
    <w:p>
      <w:r>
        <w:t>- Receiver system -&gt; SAP CPI tenant (response)</w:t>
      </w:r>
    </w:p>
    <w:p>
      <w:r>
        <w:t>- SAP CPI tenant -&gt; Sender system (response)</w:t>
      </w:r>
    </w:p>
    <w:p/>
    <w:p>
      <w:r>
        <w:t>### 3.3 Security Requirements</w:t>
      </w:r>
    </w:p>
    <w:p>
      <w:r>
        <w:t>The security requirements for iflow1 include:</w:t>
      </w:r>
    </w:p>
    <w:p>
      <w:r>
        <w:t>- Authentication: Basic authentication using username and password</w:t>
      </w:r>
    </w:p>
    <w:p>
      <w:r>
        <w:t>- Authorization: Role-based access control</w:t>
      </w:r>
    </w:p>
    <w:p>
      <w:r>
        <w:t>- Encryption: HTTPS protocol for secure data transmission</w:t>
      </w:r>
    </w:p>
    <w:p/>
    <w:p>
      <w:r>
        <w:t>## 4. Error Handling and Logging</w:t>
      </w:r>
    </w:p>
    <w:p>
      <w:r>
        <w:t>Error handling and logging for iflow1 are implemented using SAP CPI's built-in error handling mechanisms, including:</w:t>
      </w:r>
    </w:p>
    <w:p>
      <w:r>
        <w:t>- Error messages: Standard SAP CPI error messages</w:t>
      </w:r>
    </w:p>
    <w:p>
      <w:r>
        <w:t>- Logging: SAP CPI logging framework</w:t>
      </w:r>
    </w:p>
    <w:p>
      <w:r>
        <w:t>- Retry mechanism: [insert retry mechanism]</w:t>
      </w:r>
    </w:p>
    <w:p/>
    <w:p>
      <w:r>
        <w:t>## 5. Testing Validation</w:t>
      </w:r>
    </w:p>
    <w:p>
      <w:r>
        <w:t>Testing and validation for iflow1 include:</w:t>
      </w:r>
    </w:p>
    <w:p>
      <w:r>
        <w:t>- Unit testing: Testing individual components and adapters</w:t>
      </w:r>
    </w:p>
    <w:p>
      <w:r>
        <w:t>- Integration testing: Testing the entire integration flow</w:t>
      </w:r>
    </w:p>
    <w:p>
      <w:r>
        <w:t>- User acceptance testing (UAT): Testing with sample data and scenarios</w:t>
      </w:r>
    </w:p>
    <w:p/>
    <w:p>
      <w:r>
        <w:t>## 6. Reference Documents</w:t>
      </w:r>
    </w:p>
    <w:p>
      <w:r>
        <w:t>The following reference documents are applicable to iflow1:</w:t>
      </w:r>
    </w:p>
    <w:p>
      <w:r>
        <w:t>- SAP CPI documentation: [insert link to SAP CPI documentation]</w:t>
      </w:r>
    </w:p>
    <w:p>
      <w:r>
        <w:t>- Sender system documentation: [insert link to sender system documentation]</w:t>
      </w:r>
    </w:p>
    <w:p>
      <w:r>
        <w:t>- Receiver system documentation: [insert link to receiver system documentation]</w:t>
      </w:r>
    </w:p>
    <w:sectPr w:rsidR="00FC693F" w:rsidRPr="0006063C" w:rsidSect="00034616">
      <w:head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drawing>
        <wp:inline xmlns:a="http://schemas.openxmlformats.org/drawingml/2006/main" xmlns:pic="http://schemas.openxmlformats.org/drawingml/2006/picture">
          <wp:extent cx="914400" cy="914400"/>
          <wp:docPr id="1" name="Picture 1"/>
          <wp:cNvGraphicFramePr>
            <a:graphicFrameLocks noChangeAspect="1"/>
          </wp:cNvGraphicFramePr>
          <a:graphic>
            <a:graphicData uri="http://schemas.openxmlformats.org/drawingml/2006/picture">
              <pic:pic>
                <pic:nvPicPr>
                  <pic:cNvPr id="0" name="SAP.jpg"/>
                  <pic:cNvPicPr/>
                </pic:nvPicPr>
                <pic:blipFill>
                  <a:blip r:embed="rId1"/>
                  <a:stretch>
                    <a:fillRect/>
                  </a:stretch>
                </pic:blipFill>
                <pic:spPr>
                  <a:xfrm>
                    <a:off x="0" y="0"/>
                    <a:ext cx="914400" cy="914400"/>
                  </a:xfrm>
                  <a:prstGeom prst="rect"/>
                </pic:spPr>
              </pic:pic>
            </a:graphicData>
          </a:graphic>
        </wp:inline>
      </w:drawing>
    </w:r>
    <w:r>
      <w:tab/>
      <w:tab/>
      <w:tab/>
    </w:r>
    <w:r>
      <w:drawing>
        <wp:inline xmlns:a="http://schemas.openxmlformats.org/drawingml/2006/main" xmlns:pic="http://schemas.openxmlformats.org/drawingml/2006/picture">
          <wp:extent cx="914400" cy="914400"/>
          <wp:docPr id="2" name="Picture 2"/>
          <wp:cNvGraphicFramePr>
            <a:graphicFrameLocks noChangeAspect="1"/>
          </wp:cNvGraphicFramePr>
          <a:graphic>
            <a:graphicData uri="http://schemas.openxmlformats.org/drawingml/2006/picture">
              <pic:pic>
                <pic:nvPicPr>
                  <pic:cNvPr id="0" name="mm_logo.png"/>
                  <pic:cNvPicPr/>
                </pic:nvPicPr>
                <pic:blipFill>
                  <a:blip r:embed="rId2"/>
                  <a:stretch>
                    <a:fillRect/>
                  </a:stretch>
                </pic:blipFill>
                <pic:spPr>
                  <a:xfrm>
                    <a:off x="0" y="0"/>
                    <a:ext cx="914400" cy="91440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 Id="rId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