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864"/>
          <w:sz w:val="72"/>
        </w:rPr>
        <w:t>iflow1</w:t>
      </w:r>
    </w:p>
    <w:p>
      <w:pPr>
        <w:jc w:val="center"/>
      </w:pPr>
      <w:r>
        <w:t>Technical Specification Document</w:t>
      </w:r>
    </w:p>
    <w:p>
      <w:r>
        <w:br/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Akila710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 (Draft)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ind w:left="0"/>
      </w:pPr>
      <w:r>
        <w:t>1. Introduction</w:t>
      </w:r>
    </w:p>
    <w:p>
      <w:pPr>
        <w:ind w:left="288"/>
      </w:pPr>
      <w:r>
        <w:t xml:space="preserve">  1.1 Purpose</w:t>
      </w:r>
    </w:p>
    <w:p>
      <w:pPr>
        <w:ind w:left="288"/>
      </w:pPr>
      <w:r>
        <w:t xml:space="preserve">  1.2 Scope</w:t>
      </w:r>
    </w:p>
    <w:p>
      <w:pPr>
        <w:ind w:left="0"/>
      </w:pPr>
      <w:r>
        <w:t>2. Integration Overview</w:t>
      </w:r>
    </w:p>
    <w:p>
      <w:pPr>
        <w:ind w:left="288"/>
      </w:pPr>
      <w:r>
        <w:t xml:space="preserve">  2.1 Integration Architecture</w:t>
      </w:r>
    </w:p>
    <w:p>
      <w:pPr>
        <w:ind w:left="288"/>
      </w:pPr>
      <w:r>
        <w:t xml:space="preserve">  2.2 Integration Components</w:t>
      </w:r>
    </w:p>
    <w:p>
      <w:pPr>
        <w:ind w:left="0"/>
      </w:pPr>
      <w:r>
        <w:t>3. Integration Scenarios</w:t>
      </w:r>
    </w:p>
    <w:p>
      <w:pPr>
        <w:ind w:left="288"/>
      </w:pPr>
      <w:r>
        <w:t xml:space="preserve">  3.1 Scenario Description</w:t>
      </w:r>
    </w:p>
    <w:p>
      <w:pPr>
        <w:ind w:left="288"/>
      </w:pPr>
      <w:r>
        <w:t xml:space="preserve">  3.2 Data Flows</w:t>
      </w:r>
    </w:p>
    <w:p>
      <w:pPr>
        <w:ind w:left="288"/>
      </w:pPr>
      <w:r>
        <w:t xml:space="preserve">  3.3 Security Requirements</w:t>
      </w:r>
    </w:p>
    <w:p>
      <w:pPr>
        <w:ind w:left="0"/>
      </w:pPr>
      <w:r>
        <w:t>4. Error Handling and Logging</w:t>
      </w:r>
    </w:p>
    <w:p>
      <w:pPr>
        <w:ind w:left="0"/>
      </w:pPr>
      <w:r>
        <w:t>5. Testing Validation</w:t>
      </w:r>
    </w:p>
    <w:p>
      <w:r>
        <w:br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Change Description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Initial Technical Specification</w:t>
            </w:r>
          </w:p>
        </w:tc>
        <w:tc>
          <w:tcPr>
            <w:tcW w:type="dxa" w:w="2160"/>
          </w:tcPr>
          <w:p>
            <w:r>
              <w:t>2026-01-07</w:t>
            </w:r>
          </w:p>
        </w:tc>
        <w:tc>
          <w:tcPr>
            <w:tcW w:type="dxa" w:w="2160"/>
          </w:tcPr>
          <w:p>
            <w:r>
              <w:t>Akila710</w:t>
            </w:r>
          </w:p>
        </w:tc>
      </w:tr>
    </w:tbl>
    <w:p>
      <w:r>
        <w:br w:type="page"/>
      </w:r>
    </w:p>
    <w:p>
      <w:pPr>
        <w:pStyle w:val="Heading1"/>
      </w:pPr>
      <w:r>
        <w:t>Sign off - Technical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br/>
      </w:r>
    </w:p>
    <w:p>
      <w:pPr>
        <w:pStyle w:val="Heading1"/>
      </w:pPr>
      <w:r>
        <w:t>References</w:t>
      </w:r>
    </w:p>
    <w:p>
      <w:r>
        <w:t>1. Solution Architecture Document</w:t>
        <w:br/>
        <w:t>2. Interface Mapping Sheet</w:t>
      </w:r>
    </w:p>
    <w:p>
      <w:r>
        <w:br w:type="page"/>
      </w:r>
    </w:p>
    <w:p>
      <w:pPr>
        <w:pStyle w:val="Heading1"/>
      </w:pPr>
      <w:r>
        <w:rPr>
          <w:color w:val="1F3864"/>
          <w:sz w:val="32"/>
        </w:rPr>
        <w:t>1. Introduction</w:t>
      </w:r>
    </w:p>
    <w:p>
      <w:pPr>
        <w:pStyle w:val="Heading2"/>
      </w:pPr>
      <w:r>
        <w:rPr>
          <w:color w:val="2E5496"/>
          <w:sz w:val="26"/>
        </w:rPr>
        <w:t>1.1 Purpose</w:t>
      </w:r>
    </w:p>
    <w:p>
      <w:r>
        <w:t>This document provides a detailed explanation of the solution conceptualized for iflow1.</w:t>
      </w:r>
    </w:p>
    <w:p>
      <w:pPr>
        <w:pStyle w:val="Heading2"/>
      </w:pPr>
      <w:r>
        <w:rPr>
          <w:color w:val="2E5496"/>
          <w:sz w:val="26"/>
        </w:rPr>
        <w:t>1.2 Scope</w:t>
      </w:r>
    </w:p>
    <w:p>
      <w:r>
        <w:t>This technical specification outlines the data flows and mapping rules required for the integration.</w:t>
      </w:r>
    </w:p>
    <w:p>
      <w:pPr>
        <w:pStyle w:val="Heading1"/>
      </w:pPr>
      <w:r>
        <w:rPr>
          <w:color w:val="1F3864"/>
          <w:sz w:val="32"/>
        </w:rPr>
        <w:t>2. Integration Overview</w:t>
      </w:r>
    </w:p>
    <w:p>
      <w:pPr>
        <w:pStyle w:val="Heading2"/>
      </w:pPr>
      <w:r>
        <w:rPr>
          <w:color w:val="2E5496"/>
          <w:sz w:val="26"/>
        </w:rPr>
        <w:t>2.1 Integration Architecture</w:t>
      </w:r>
    </w:p>
    <w:p>
      <w:r>
        <w:t>The technical architecture follows the standard SAP BTP Cloud Integration pattern.</w:t>
      </w:r>
    </w:p>
    <w:p>
      <w:pPr>
        <w:pStyle w:val="Heading1"/>
      </w:pPr>
      <w:r>
        <w:rPr>
          <w:color w:val="1F3864"/>
          <w:sz w:val="32"/>
        </w:rPr>
        <w:t>3. Integration Scenarios</w:t>
      </w:r>
    </w:p>
    <w:p>
      <w:pPr>
        <w:pStyle w:val="Heading2"/>
      </w:pPr>
      <w:r>
        <w:rPr>
          <w:color w:val="2E5496"/>
          <w:sz w:val="26"/>
        </w:rPr>
        <w:t>3.1 Scenario Description</w:t>
      </w:r>
    </w:p>
    <w:p>
      <w:r>
        <w:t>### Technical Flow for iFlow: iflow1</w:t>
        <w:br/>
        <w:br/>
        <w:t>1. **Initiation and Triggering:**</w:t>
        <w:br/>
        <w:t xml:space="preserve">   - iFlow1 begins its process with an event-driven trigger, typically initiated by an incoming message or event.</w:t>
        <w:br/>
        <w:t xml:space="preserve">   - The source can be various systems (e.g., APIs, file systems, or databases) that send data in a predefined format (like XML or JSON).</w:t>
        <w:br/>
        <w:t xml:space="preserve">   - This initiates the workflow, capturing the incoming data payload for subsequent processing.</w:t>
        <w:br/>
        <w:br/>
        <w:t>2. **Data Transformation and Logic Processing:**</w:t>
        <w:br/>
        <w:t xml:space="preserve">   - The received data undergoes transformation through different components of the iFlow, utilizing mapping tools or scripts to convert data formats as required.</w:t>
        <w:br/>
        <w:t xml:space="preserve">   - Business logic can be applied at this stage, which may involve condition checks, data enrichment, or filtering operations to validate and enhance the incoming data.</w:t>
        <w:br/>
        <w:t xml:space="preserve">   - Any necessary error handling mechanisms are integrated to manage exceptions, ensuring robust processing throughout the flow.</w:t>
        <w:br/>
        <w:br/>
        <w:t>3. **Delivery and Finalization:**</w:t>
        <w:br/>
        <w:t xml:space="preserve">   - After processing, the final output is directed to the target system, which could be another application, a database, or a message queue.</w:t>
        <w:br/>
        <w:t xml:space="preserve">   - Logging and monitoring are set up to track the flow's performance, capturing metrics for successful deliveries and any errors encountered during the process.</w:t>
        <w:br/>
        <w:t xml:space="preserve">   - The iFlow concludes by ensuring that all transactional data and acknowledgments are delivered correctly, with the option for follow-up actions if necessary.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